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6960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69607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Gao Wen</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03/18/2026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uCloudlink Group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UCL</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3">
            <w:col w:w="2960" w:space="400"/>
            <w:col w:w="1360" w:space="280"/>
            <w:col w:w="5940"/>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UNIT 2214-RM1, 22/F, MIRA</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PLACE TOWER A</w:t>
      </w:r>
    </w:p>
    <w:p>
      <w:pPr>
        <w:spacing w:after="0" w:line="56" w:lineRule="exact"/>
        <w:rPr>
          <w:sz w:val="24"/>
          <w:szCs w:val="24"/>
          <w:color w:val="auto"/>
        </w:rPr>
      </w:pPr>
    </w:p>
    <w:p>
      <w:pPr>
        <w:ind w:left="140" w:right="1397"/>
        <w:spacing w:after="0" w:line="275" w:lineRule="auto"/>
        <w:rPr>
          <w:sz w:val="20"/>
          <w:szCs w:val="20"/>
          <w:color w:val="auto"/>
        </w:rPr>
      </w:pPr>
      <w:r>
        <w:rPr>
          <w:rFonts w:ascii="Times New Roman" w:cs="Times New Roman" w:eastAsia="Times New Roman" w:hAnsi="Times New Roman"/>
          <w:sz w:val="20"/>
          <w:szCs w:val="20"/>
          <w:color w:val="0000FF"/>
        </w:rPr>
        <w:t>132 NATHAN ROAD, TSIM SHA TSUI, KOWLOON</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HONG</w:t>
            </w:r>
          </w:p>
        </w:tc>
        <w:tc>
          <w:tcPr>
            <w:tcW w:w="88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K3</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000000</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KONG</w:t>
            </w:r>
          </w:p>
        </w:tc>
        <w:tc>
          <w:tcPr>
            <w:tcW w:w="8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83"/>
        <w:spacing w:after="0"/>
        <w:rPr>
          <w:sz w:val="20"/>
          <w:szCs w:val="20"/>
          <w:color w:val="auto"/>
        </w:rPr>
      </w:pPr>
      <w:r>
        <w:rPr>
          <w:rFonts w:ascii="Times New Roman" w:cs="Times New Roman" w:eastAsia="Times New Roman" w:hAnsi="Times New Roman"/>
          <w:sz w:val="20"/>
          <w:szCs w:val="20"/>
          <w:color w:val="0000FF"/>
        </w:rPr>
        <w:t>Chief Strategy Officer</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1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78"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26"/>
        </w:trPr>
        <w:tc>
          <w:tcPr>
            <w:tcW w:w="20" w:type="dxa"/>
            <w:vAlign w:val="bottom"/>
          </w:tcPr>
          <w:p>
            <w:pPr>
              <w:spacing w:after="0"/>
              <w:rPr>
                <w:sz w:val="24"/>
                <w:szCs w:val="24"/>
                <w:color w:val="auto"/>
              </w:rPr>
            </w:pPr>
          </w:p>
        </w:tc>
        <w:tc>
          <w:tcPr>
            <w:tcW w:w="3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(1)</w:t>
            </w:r>
          </w:p>
        </w:tc>
        <w:tc>
          <w:tcPr>
            <w:tcW w:w="3100" w:type="dxa"/>
            <w:vAlign w:val="bottom"/>
            <w:tcBorders>
              <w:bottom w:val="single" w:sz="8" w:color="2C2C2C"/>
            </w:tcBorders>
          </w:tcPr>
          <w:p>
            <w:pPr>
              <w:jc w:val="center"/>
              <w:ind w:left="1022"/>
              <w:spacing w:after="0"/>
              <w:rPr>
                <w:sz w:val="20"/>
                <w:szCs w:val="20"/>
                <w:color w:val="auto"/>
              </w:rPr>
            </w:pPr>
            <w:r>
              <w:rPr>
                <w:rFonts w:ascii="Times New Roman" w:cs="Times New Roman" w:eastAsia="Times New Roman" w:hAnsi="Times New Roman"/>
                <w:sz w:val="20"/>
                <w:szCs w:val="20"/>
                <w:color w:val="0000FF"/>
                <w:w w:val="97"/>
              </w:rPr>
              <w:t>1,142,600</w:t>
            </w:r>
          </w:p>
        </w:tc>
        <w:tc>
          <w:tcPr>
            <w:tcW w:w="1000" w:type="dxa"/>
            <w:vAlign w:val="bottom"/>
            <w:tcBorders>
              <w:bottom w:val="single" w:sz="8" w:color="2C2C2C"/>
            </w:tcBorders>
          </w:tcPr>
          <w:p>
            <w:pPr>
              <w:jc w:val="center"/>
              <w:ind w:left="162"/>
              <w:spacing w:after="0"/>
              <w:rPr>
                <w:sz w:val="20"/>
                <w:szCs w:val="20"/>
                <w:color w:val="auto"/>
              </w:rPr>
            </w:pPr>
            <w:r>
              <w:rPr>
                <w:rFonts w:ascii="Times New Roman" w:cs="Times New Roman" w:eastAsia="Times New Roman" w:hAnsi="Times New Roman"/>
                <w:sz w:val="20"/>
                <w:szCs w:val="20"/>
                <w:color w:val="0000FF"/>
                <w:w w:val="96"/>
              </w:rPr>
              <w:t>D</w:t>
            </w:r>
          </w:p>
        </w:tc>
        <w:tc>
          <w:tcPr>
            <w:tcW w:w="30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(1)</w:t>
            </w:r>
          </w:p>
        </w:tc>
        <w:tc>
          <w:tcPr>
            <w:tcW w:w="3100" w:type="dxa"/>
            <w:vAlign w:val="bottom"/>
            <w:tcBorders>
              <w:bottom w:val="single" w:sz="8" w:color="2C2C2C"/>
            </w:tcBorders>
          </w:tcPr>
          <w:p>
            <w:pPr>
              <w:jc w:val="center"/>
              <w:ind w:left="1002"/>
              <w:spacing w:after="0"/>
              <w:rPr>
                <w:sz w:val="20"/>
                <w:szCs w:val="20"/>
                <w:color w:val="auto"/>
              </w:rPr>
            </w:pPr>
            <w:r>
              <w:rPr>
                <w:rFonts w:ascii="Times New Roman" w:cs="Times New Roman" w:eastAsia="Times New Roman" w:hAnsi="Times New Roman"/>
                <w:sz w:val="20"/>
                <w:szCs w:val="20"/>
                <w:color w:val="0000FF"/>
                <w:w w:val="97"/>
              </w:rPr>
              <w:t>11,889,820</w:t>
            </w:r>
          </w:p>
        </w:tc>
        <w:tc>
          <w:tcPr>
            <w:tcW w:w="1000" w:type="dxa"/>
            <w:vAlign w:val="bottom"/>
            <w:tcBorders>
              <w:bottom w:val="single" w:sz="8" w:color="2C2C2C"/>
            </w:tcBorders>
          </w:tcPr>
          <w:p>
            <w:pPr>
              <w:jc w:val="center"/>
              <w:ind w:left="162"/>
              <w:spacing w:after="0"/>
              <w:rPr>
                <w:sz w:val="20"/>
                <w:szCs w:val="20"/>
                <w:color w:val="auto"/>
              </w:rPr>
            </w:pPr>
            <w:r>
              <w:rPr>
                <w:rFonts w:ascii="Times New Roman" w:cs="Times New Roman" w:eastAsia="Times New Roman" w:hAnsi="Times New Roman"/>
                <w:sz w:val="20"/>
                <w:szCs w:val="20"/>
                <w:color w:val="0000FF"/>
                <w:w w:val="89"/>
              </w:rPr>
              <w:t>I</w:t>
            </w:r>
          </w:p>
        </w:tc>
        <w:tc>
          <w:tcPr>
            <w:tcW w:w="30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By Talent Wits Limited</w:t>
            </w:r>
            <w:r>
              <w:rPr>
                <w:rFonts w:ascii="Times New Roman" w:cs="Times New Roman" w:eastAsia="Times New Roman" w:hAnsi="Times New Roman"/>
                <w:sz w:val="25"/>
                <w:szCs w:val="25"/>
                <w:color w:val="008000"/>
                <w:vertAlign w:val="superscript"/>
              </w:rPr>
              <w:t>(2)</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(3)</w:t>
            </w:r>
          </w:p>
        </w:tc>
        <w:tc>
          <w:tcPr>
            <w:tcW w:w="3100" w:type="dxa"/>
            <w:vAlign w:val="bottom"/>
            <w:tcBorders>
              <w:bottom w:val="single" w:sz="8" w:color="2C2C2C"/>
            </w:tcBorders>
          </w:tcPr>
          <w:p>
            <w:pPr>
              <w:jc w:val="center"/>
              <w:ind w:left="1002"/>
              <w:spacing w:after="0"/>
              <w:rPr>
                <w:sz w:val="20"/>
                <w:szCs w:val="20"/>
                <w:color w:val="auto"/>
              </w:rPr>
            </w:pPr>
            <w:r>
              <w:rPr>
                <w:rFonts w:ascii="Times New Roman" w:cs="Times New Roman" w:eastAsia="Times New Roman" w:hAnsi="Times New Roman"/>
                <w:sz w:val="20"/>
                <w:szCs w:val="20"/>
                <w:color w:val="0000FF"/>
                <w:w w:val="98"/>
              </w:rPr>
              <w:t>105,600</w:t>
            </w:r>
          </w:p>
        </w:tc>
        <w:tc>
          <w:tcPr>
            <w:tcW w:w="1000" w:type="dxa"/>
            <w:vAlign w:val="bottom"/>
            <w:tcBorders>
              <w:bottom w:val="single" w:sz="8" w:color="2C2C2C"/>
            </w:tcBorders>
          </w:tcPr>
          <w:p>
            <w:pPr>
              <w:jc w:val="center"/>
              <w:ind w:left="162"/>
              <w:spacing w:after="0"/>
              <w:rPr>
                <w:sz w:val="20"/>
                <w:szCs w:val="20"/>
                <w:color w:val="auto"/>
              </w:rPr>
            </w:pPr>
            <w:r>
              <w:rPr>
                <w:rFonts w:ascii="Times New Roman" w:cs="Times New Roman" w:eastAsia="Times New Roman" w:hAnsi="Times New Roman"/>
                <w:sz w:val="20"/>
                <w:szCs w:val="20"/>
                <w:color w:val="0000FF"/>
                <w:w w:val="96"/>
              </w:rPr>
              <w:t>D</w:t>
            </w:r>
          </w:p>
        </w:tc>
        <w:tc>
          <w:tcPr>
            <w:tcW w:w="30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(4)</w:t>
            </w:r>
          </w:p>
        </w:tc>
        <w:tc>
          <w:tcPr>
            <w:tcW w:w="3100" w:type="dxa"/>
            <w:vAlign w:val="bottom"/>
            <w:tcBorders>
              <w:bottom w:val="single" w:sz="8" w:color="2C2C2C"/>
            </w:tcBorders>
          </w:tcPr>
          <w:p>
            <w:pPr>
              <w:jc w:val="center"/>
              <w:ind w:left="1002"/>
              <w:spacing w:after="0"/>
              <w:rPr>
                <w:sz w:val="20"/>
                <w:szCs w:val="20"/>
                <w:color w:val="auto"/>
              </w:rPr>
            </w:pPr>
            <w:r>
              <w:rPr>
                <w:rFonts w:ascii="Times New Roman" w:cs="Times New Roman" w:eastAsia="Times New Roman" w:hAnsi="Times New Roman"/>
                <w:sz w:val="20"/>
                <w:szCs w:val="20"/>
                <w:color w:val="0000FF"/>
                <w:w w:val="98"/>
              </w:rPr>
              <w:t>132,000</w:t>
            </w:r>
          </w:p>
        </w:tc>
        <w:tc>
          <w:tcPr>
            <w:tcW w:w="1000" w:type="dxa"/>
            <w:vAlign w:val="bottom"/>
            <w:tcBorders>
              <w:bottom w:val="single" w:sz="8" w:color="2C2C2C"/>
            </w:tcBorders>
          </w:tcPr>
          <w:p>
            <w:pPr>
              <w:jc w:val="center"/>
              <w:ind w:left="162"/>
              <w:spacing w:after="0"/>
              <w:rPr>
                <w:sz w:val="20"/>
                <w:szCs w:val="20"/>
                <w:color w:val="auto"/>
              </w:rPr>
            </w:pPr>
            <w:r>
              <w:rPr>
                <w:rFonts w:ascii="Times New Roman" w:cs="Times New Roman" w:eastAsia="Times New Roman" w:hAnsi="Times New Roman"/>
                <w:sz w:val="20"/>
                <w:szCs w:val="20"/>
                <w:color w:val="0000FF"/>
                <w:w w:val="96"/>
              </w:rPr>
              <w:t>D</w:t>
            </w:r>
          </w:p>
        </w:tc>
        <w:tc>
          <w:tcPr>
            <w:tcW w:w="30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(5)</w:t>
            </w:r>
          </w:p>
        </w:tc>
        <w:tc>
          <w:tcPr>
            <w:tcW w:w="3100" w:type="dxa"/>
            <w:vAlign w:val="bottom"/>
            <w:tcBorders>
              <w:bottom w:val="single" w:sz="8" w:color="2C2C2C"/>
            </w:tcBorders>
          </w:tcPr>
          <w:p>
            <w:pPr>
              <w:jc w:val="center"/>
              <w:ind w:left="1002"/>
              <w:spacing w:after="0"/>
              <w:rPr>
                <w:sz w:val="20"/>
                <w:szCs w:val="20"/>
                <w:color w:val="auto"/>
              </w:rPr>
            </w:pPr>
            <w:r>
              <w:rPr>
                <w:rFonts w:ascii="Times New Roman" w:cs="Times New Roman" w:eastAsia="Times New Roman" w:hAnsi="Times New Roman"/>
                <w:sz w:val="20"/>
                <w:szCs w:val="20"/>
                <w:color w:val="0000FF"/>
                <w:w w:val="98"/>
              </w:rPr>
              <w:t>150,000</w:t>
            </w:r>
          </w:p>
        </w:tc>
        <w:tc>
          <w:tcPr>
            <w:tcW w:w="1000" w:type="dxa"/>
            <w:vAlign w:val="bottom"/>
            <w:tcBorders>
              <w:bottom w:val="single" w:sz="8" w:color="2C2C2C"/>
            </w:tcBorders>
          </w:tcPr>
          <w:p>
            <w:pPr>
              <w:jc w:val="center"/>
              <w:ind w:left="162"/>
              <w:spacing w:after="0"/>
              <w:rPr>
                <w:sz w:val="20"/>
                <w:szCs w:val="20"/>
                <w:color w:val="auto"/>
              </w:rPr>
            </w:pPr>
            <w:r>
              <w:rPr>
                <w:rFonts w:ascii="Times New Roman" w:cs="Times New Roman" w:eastAsia="Times New Roman" w:hAnsi="Times New Roman"/>
                <w:sz w:val="20"/>
                <w:szCs w:val="20"/>
                <w:color w:val="0000FF"/>
                <w:w w:val="96"/>
              </w:rPr>
              <w:t>D</w:t>
            </w:r>
          </w:p>
        </w:tc>
        <w:tc>
          <w:tcPr>
            <w:tcW w:w="30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(6)</w:t>
            </w:r>
          </w:p>
        </w:tc>
        <w:tc>
          <w:tcPr>
            <w:tcW w:w="3100" w:type="dxa"/>
            <w:vAlign w:val="bottom"/>
            <w:tcBorders>
              <w:bottom w:val="single" w:sz="8" w:color="2C2C2C"/>
            </w:tcBorders>
          </w:tcPr>
          <w:p>
            <w:pPr>
              <w:jc w:val="center"/>
              <w:ind w:left="1002"/>
              <w:spacing w:after="0"/>
              <w:rPr>
                <w:sz w:val="20"/>
                <w:szCs w:val="20"/>
                <w:color w:val="auto"/>
              </w:rPr>
            </w:pPr>
            <w:r>
              <w:rPr>
                <w:rFonts w:ascii="Times New Roman" w:cs="Times New Roman" w:eastAsia="Times New Roman" w:hAnsi="Times New Roman"/>
                <w:sz w:val="20"/>
                <w:szCs w:val="20"/>
                <w:color w:val="0000FF"/>
                <w:w w:val="94"/>
              </w:rPr>
              <w:t>42,200</w:t>
            </w:r>
          </w:p>
        </w:tc>
        <w:tc>
          <w:tcPr>
            <w:tcW w:w="1000" w:type="dxa"/>
            <w:vAlign w:val="bottom"/>
            <w:tcBorders>
              <w:bottom w:val="single" w:sz="8" w:color="2C2C2C"/>
            </w:tcBorders>
          </w:tcPr>
          <w:p>
            <w:pPr>
              <w:jc w:val="center"/>
              <w:ind w:left="162"/>
              <w:spacing w:after="0"/>
              <w:rPr>
                <w:sz w:val="20"/>
                <w:szCs w:val="20"/>
                <w:color w:val="auto"/>
              </w:rPr>
            </w:pPr>
            <w:r>
              <w:rPr>
                <w:rFonts w:ascii="Times New Roman" w:cs="Times New Roman" w:eastAsia="Times New Roman" w:hAnsi="Times New Roman"/>
                <w:sz w:val="20"/>
                <w:szCs w:val="20"/>
                <w:color w:val="0000FF"/>
                <w:w w:val="96"/>
              </w:rPr>
              <w:t>D</w:t>
            </w:r>
          </w:p>
        </w:tc>
        <w:tc>
          <w:tcPr>
            <w:tcW w:w="30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(7)</w:t>
            </w:r>
          </w:p>
        </w:tc>
        <w:tc>
          <w:tcPr>
            <w:tcW w:w="3100" w:type="dxa"/>
            <w:vAlign w:val="bottom"/>
            <w:tcBorders>
              <w:bottom w:val="single" w:sz="8" w:color="2C2C2C"/>
            </w:tcBorders>
          </w:tcPr>
          <w:p>
            <w:pPr>
              <w:jc w:val="center"/>
              <w:ind w:left="1002"/>
              <w:spacing w:after="0"/>
              <w:rPr>
                <w:sz w:val="20"/>
                <w:szCs w:val="20"/>
                <w:color w:val="auto"/>
              </w:rPr>
            </w:pPr>
            <w:r>
              <w:rPr>
                <w:rFonts w:ascii="Times New Roman" w:cs="Times New Roman" w:eastAsia="Times New Roman" w:hAnsi="Times New Roman"/>
                <w:sz w:val="20"/>
                <w:szCs w:val="20"/>
                <w:color w:val="0000FF"/>
                <w:w w:val="98"/>
              </w:rPr>
              <w:t>300,000</w:t>
            </w:r>
          </w:p>
        </w:tc>
        <w:tc>
          <w:tcPr>
            <w:tcW w:w="1000" w:type="dxa"/>
            <w:vAlign w:val="bottom"/>
            <w:tcBorders>
              <w:bottom w:val="single" w:sz="8" w:color="2C2C2C"/>
            </w:tcBorders>
          </w:tcPr>
          <w:p>
            <w:pPr>
              <w:jc w:val="center"/>
              <w:ind w:left="162"/>
              <w:spacing w:after="0"/>
              <w:rPr>
                <w:sz w:val="20"/>
                <w:szCs w:val="20"/>
                <w:color w:val="auto"/>
              </w:rPr>
            </w:pPr>
            <w:r>
              <w:rPr>
                <w:rFonts w:ascii="Times New Roman" w:cs="Times New Roman" w:eastAsia="Times New Roman" w:hAnsi="Times New Roman"/>
                <w:sz w:val="20"/>
                <w:szCs w:val="20"/>
                <w:color w:val="0000FF"/>
                <w:w w:val="96"/>
              </w:rPr>
              <w:t>D</w:t>
            </w:r>
          </w:p>
        </w:tc>
        <w:tc>
          <w:tcPr>
            <w:tcW w:w="30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(8)</w:t>
            </w:r>
          </w:p>
        </w:tc>
        <w:tc>
          <w:tcPr>
            <w:tcW w:w="3100" w:type="dxa"/>
            <w:vAlign w:val="bottom"/>
            <w:tcBorders>
              <w:bottom w:val="single" w:sz="8" w:color="2C2C2C"/>
            </w:tcBorders>
          </w:tcPr>
          <w:p>
            <w:pPr>
              <w:jc w:val="center"/>
              <w:ind w:left="1002"/>
              <w:spacing w:after="0"/>
              <w:rPr>
                <w:sz w:val="20"/>
                <w:szCs w:val="20"/>
                <w:color w:val="auto"/>
              </w:rPr>
            </w:pPr>
            <w:r>
              <w:rPr>
                <w:rFonts w:ascii="Times New Roman" w:cs="Times New Roman" w:eastAsia="Times New Roman" w:hAnsi="Times New Roman"/>
                <w:sz w:val="20"/>
                <w:szCs w:val="20"/>
                <w:color w:val="0000FF"/>
                <w:w w:val="98"/>
              </w:rPr>
              <w:t>103,090</w:t>
            </w:r>
          </w:p>
        </w:tc>
        <w:tc>
          <w:tcPr>
            <w:tcW w:w="1000" w:type="dxa"/>
            <w:vAlign w:val="bottom"/>
            <w:tcBorders>
              <w:bottom w:val="single" w:sz="8" w:color="2C2C2C"/>
            </w:tcBorders>
          </w:tcPr>
          <w:p>
            <w:pPr>
              <w:jc w:val="center"/>
              <w:ind w:left="162"/>
              <w:spacing w:after="0"/>
              <w:rPr>
                <w:sz w:val="20"/>
                <w:szCs w:val="20"/>
                <w:color w:val="auto"/>
              </w:rPr>
            </w:pPr>
            <w:r>
              <w:rPr>
                <w:rFonts w:ascii="Times New Roman" w:cs="Times New Roman" w:eastAsia="Times New Roman" w:hAnsi="Times New Roman"/>
                <w:sz w:val="20"/>
                <w:szCs w:val="20"/>
                <w:color w:val="0000FF"/>
                <w:w w:val="96"/>
              </w:rPr>
              <w:t>D</w:t>
            </w:r>
          </w:p>
        </w:tc>
        <w:tc>
          <w:tcPr>
            <w:tcW w:w="30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740" w:type="dxa"/>
            <w:vAlign w:val="bottom"/>
            <w:tcBorders>
              <w:top w:val="single" w:sz="8" w:color="808080"/>
            </w:tcBorders>
            <w:shd w:val="clear" w:color="auto" w:fill="2C2C2C"/>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30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jc w:val="both"/>
        <w:ind w:left="40" w:right="10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holder of Class A ordinary shares of uCloudlink Group Inc. (the "Company") is entitled to one vote per share and each holder of Class B ordinary shares of the Company is entitled to 15 votes per share on all matters submitted to them for a vote. Class B ordinary shares are convertible at any time by the holder thereof into Class A ordinary shares on a one-for-one basis, whereas Class A ordinary shares are not convertible into Class B ordinary shares under any circumstances.</w:t>
      </w:r>
    </w:p>
    <w:p>
      <w:pPr>
        <w:spacing w:after="0" w:line="29"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Talent Wits Limited is wholly owned by Mr. Wen Gao.</w:t>
      </w:r>
    </w:p>
    <w:p>
      <w:pPr>
        <w:spacing w:after="0" w:line="52" w:lineRule="exact"/>
        <w:rPr>
          <w:rFonts w:ascii="Times New Roman" w:cs="Times New Roman" w:eastAsia="Times New Roman" w:hAnsi="Times New Roman"/>
          <w:sz w:val="15"/>
          <w:szCs w:val="15"/>
          <w:color w:val="008000"/>
        </w:rPr>
      </w:pPr>
    </w:p>
    <w:p>
      <w:pPr>
        <w:ind w:left="40" w:right="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represents the remaining unvested restricted share units ("RSUs") granted to the reporting person on August 30, 2022 pursuant to the Company's share incentive plans. Each RSU represents a contingent right to receive one Class A common share upon vesting. 52,800 RSUs will vest on each of August 30, 2026 and 2027.</w:t>
      </w:r>
    </w:p>
    <w:p>
      <w:pPr>
        <w:spacing w:after="0" w:line="17" w:lineRule="exact"/>
        <w:rPr>
          <w:rFonts w:ascii="Times New Roman" w:cs="Times New Roman" w:eastAsia="Times New Roman" w:hAnsi="Times New Roman"/>
          <w:sz w:val="15"/>
          <w:szCs w:val="15"/>
          <w:color w:val="008000"/>
        </w:rPr>
      </w:pPr>
    </w:p>
    <w:p>
      <w:pPr>
        <w:ind w:left="40" w:right="6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represents the remaining unvested RSUs granted to the reporting person on May 31, 2023 pursuant to the Company's share incentive plans. Each RSU represents a contingent right to receive one Class A common share upon vesting. 44,000 RSUs will vest on each of May 31, 2026, 2027 and 2028.</w:t>
      </w:r>
    </w:p>
    <w:p>
      <w:pPr>
        <w:spacing w:after="0" w:line="17" w:lineRule="exact"/>
        <w:rPr>
          <w:rFonts w:ascii="Times New Roman" w:cs="Times New Roman" w:eastAsia="Times New Roman" w:hAnsi="Times New Roman"/>
          <w:sz w:val="15"/>
          <w:szCs w:val="15"/>
          <w:color w:val="008000"/>
        </w:rPr>
      </w:pPr>
    </w:p>
    <w:p>
      <w:pPr>
        <w:ind w:left="40" w:right="3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represents the remaining unvested RSUs granted to the reporting person on May 31, 2024 pursuant to the Company's share incentive plans. Each RSU represents a contingent right to receive one Class A common share upon vesting. 60,000 RSUs will vest on May 31, 2026. 30,000 RSUs will vest on each of May 31, 2027, 2028 and 2029.</w:t>
      </w:r>
    </w:p>
    <w:p>
      <w:pPr>
        <w:spacing w:after="0" w:line="17" w:lineRule="exact"/>
        <w:rPr>
          <w:rFonts w:ascii="Times New Roman" w:cs="Times New Roman" w:eastAsia="Times New Roman" w:hAnsi="Times New Roman"/>
          <w:sz w:val="15"/>
          <w:szCs w:val="15"/>
          <w:color w:val="008000"/>
        </w:rPr>
      </w:pPr>
    </w:p>
    <w:p>
      <w:pPr>
        <w:jc w:val="both"/>
        <w:ind w:left="40" w:right="44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represents the remaining unvested RSUs granted to the reporting person on January 31, 2025 pursuant to the Company's share incentive plans. Each RSU represents a contingent right to receive one Class A common share upon vesting. 16,880 RSUs will vest on May 31, 2026. 8,440 RSUs will vest on each of May 31, 2027, 2028 and 2029.</w:t>
      </w:r>
    </w:p>
    <w:p>
      <w:pPr>
        <w:spacing w:after="0" w:line="17" w:lineRule="exact"/>
        <w:rPr>
          <w:rFonts w:ascii="Times New Roman" w:cs="Times New Roman" w:eastAsia="Times New Roman" w:hAnsi="Times New Roman"/>
          <w:sz w:val="15"/>
          <w:szCs w:val="15"/>
          <w:color w:val="008000"/>
        </w:rPr>
      </w:pPr>
    </w:p>
    <w:p>
      <w:pPr>
        <w:ind w:left="40" w:right="16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represents the remaining unvested RSUs granted to the reporting person on May 31, 2025 pursuant to the Company's share incentive plans. Each RSU represents a contingent right to receive one Class A common share upon vesting. 150,000 RSUs will vest on May 31, 2026. 60,000 RSUs will vest on May 31, 2027. 30,000 RSUs will vest on each of May 31, 2028, 2029 and 2030.</w:t>
      </w:r>
    </w:p>
    <w:p>
      <w:pPr>
        <w:spacing w:after="0" w:line="29"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represents the remaining unvested RSUs granted to the reporting person on January 31, 2026 pursuant to the Company's share incentive plans. Each RSU represents a</w:t>
      </w:r>
    </w:p>
    <w:p>
      <w:pPr>
        <w:sectPr>
          <w:pgSz w:w="11900" w:h="16838" w:orient="portrait"/>
          <w:cols w:equalWidth="0" w:num="1">
            <w:col w:w="10940"/>
          </w:cols>
          <w:pgMar w:left="480" w:top="230" w:right="479" w:bottom="0" w:gutter="0" w:footer="0" w:header="0"/>
          <w:type w:val="continuous"/>
        </w:sectPr>
      </w:pPr>
    </w:p>
    <w:bookmarkStart w:id="1" w:name="page2"/>
    <w:bookmarkEnd w:id="1"/>
    <w:p>
      <w:pPr>
        <w:ind w:right="160"/>
        <w:spacing w:after="0" w:line="259" w:lineRule="auto"/>
        <w:rPr>
          <w:sz w:val="20"/>
          <w:szCs w:val="20"/>
          <w:color w:val="auto"/>
        </w:rPr>
      </w:pPr>
      <w:r>
        <w:rPr>
          <w:rFonts w:ascii="Times New Roman" w:cs="Times New Roman" w:eastAsia="Times New Roman" w:hAnsi="Times New Roman"/>
          <w:sz w:val="15"/>
          <w:szCs w:val="15"/>
          <w:color w:val="008000"/>
        </w:rPr>
        <w:t>contingent right to receive one Class A common share upon vesting. 51,540 RSUs will vest on May 31, 2026. 20,610 RSUs will vest on May 31, 2027. 10,300 RSUs will vest on each of May 31, 2028 and 2029. 10,340 RSUs will vest on May 31, 2030.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3"/>
              </w:rPr>
              <w:t>/s/ Wen Gao</w:t>
            </w:r>
          </w:p>
        </w:tc>
        <w:tc>
          <w:tcPr>
            <w:tcW w:w="122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14980" TargetMode="External"/><Relationship Id="rId11" Type="http://schemas.openxmlformats.org/officeDocument/2006/relationships/hyperlink" Target="http://www.sec.gov/cgi-bin/browse-edgar?action=getcompany&amp;CIK=00017758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2026-03-18T07:51:06Z</dcterms:created>
  <dcterms:modified xsi:type="dcterms:W3CDTF">2026-03-18T07:51:06Z</dcterms:modified>
</cp:coreProperties>
</file>