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Peng Zhiping</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uCloudlink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UCL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UNIT 2214-RM1, 22/F, MIRA PLACE TOWER A</w:t>
            </w: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132 NATHAN ROAD, TSIM SHA TSUI,</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color w:val="0000FF"/>
              </w:rPr>
              <w:t>KOWLOON</w:t>
            </w: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6"/>
                <w:szCs w:val="16"/>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HONG KONG  K3</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000000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76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L</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0.9999</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505,736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76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1.0874</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515,736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Ordinary Share, par value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4"/>
            <w:vMerge w:val="restart"/>
          </w:tcPr>
          <w:p>
            <w:pPr>
              <w:jc w:val="center"/>
              <w:ind w:left="115"/>
              <w:spacing w:after="0"/>
              <w:rPr>
                <w:sz w:val="20"/>
                <w:szCs w:val="20"/>
                <w:color w:val="auto"/>
              </w:rPr>
            </w:pPr>
            <w:r>
              <w:rPr>
                <w:rFonts w:ascii="Times New Roman" w:cs="Times New Roman" w:eastAsia="Times New Roman" w:hAnsi="Times New Roman"/>
                <w:sz w:val="17"/>
                <w:szCs w:val="17"/>
                <w:color w:val="0000FF"/>
              </w:rPr>
              <w:t>4,954,830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US$0.00005 per share</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2020" w:type="dxa"/>
            <w:vAlign w:val="bottom"/>
            <w:tcBorders>
              <w:bottom w:val="single" w:sz="8" w:color="2C2C2C"/>
            </w:tcBorders>
            <w:gridSpan w:val="5"/>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Class A ordinary shares.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ADS. The reporting person executed a trade order through a broker-dealer which resulted in multiple same-day, same-way open market purchases of ADSs, with prices ranging from $0.9935 to $1.00, inclusive. The reporting person has reported these purchases on an aggregate basis using the weighted average price, rounded to the nearest cent, for the transactions. The reporting person undertakes to provide to UCLOUDLINK GROUP INC , any security holder of UCLOUDLINK GROUP INC , or the staff of the Securities and Exchange Commission, upon request, full information regarding the number of ADS purchased at each separate price within the ranges set forth in footnotes (2) and (3) to this Form 4.</w:t>
      </w:r>
    </w:p>
    <w:p>
      <w:pPr>
        <w:spacing w:after="0" w:line="24"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ADS. The reporting person executed a trade order through a broker-dealer which resulted in multiple same-day, same-way open market purchases, with prices ranging from $1.06 to $1.09, inclusive. The reporting person has reported these purchases on an aggregate basis using the weighted average price, rounded to the nearest cent, for the transactions.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Zhiping Peng</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0441" TargetMode="External"/><Relationship Id="rId14" Type="http://schemas.openxmlformats.org/officeDocument/2006/relationships/hyperlink" Target="http://www.sec.gov/cgi-bin/browse-edgar?action=getcompany&amp;CIK=0001775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2026-06-08T07:04:34Z</dcterms:created>
  <dcterms:modified xsi:type="dcterms:W3CDTF">2026-06-08T07:04:34Z</dcterms:modified>
</cp:coreProperties>
</file>