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Peng Zhiping</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uCloudlink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UCL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UNIT 2214-RM1, 22/F, MIRA</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PLACE TOWER A</w:t>
      </w:r>
    </w:p>
    <w:p>
      <w:pPr>
        <w:spacing w:after="0" w:line="56" w:lineRule="exact"/>
        <w:rPr>
          <w:sz w:val="24"/>
          <w:szCs w:val="24"/>
          <w:color w:val="auto"/>
        </w:rPr>
      </w:pPr>
    </w:p>
    <w:p>
      <w:pPr>
        <w:ind w:left="140" w:right="1397"/>
        <w:spacing w:after="0" w:line="275" w:lineRule="auto"/>
        <w:rPr>
          <w:sz w:val="20"/>
          <w:szCs w:val="20"/>
          <w:color w:val="auto"/>
        </w:rPr>
      </w:pPr>
      <w:r>
        <w:rPr>
          <w:rFonts w:ascii="Times New Roman" w:cs="Times New Roman" w:eastAsia="Times New Roman" w:hAnsi="Times New Roman"/>
          <w:sz w:val="20"/>
          <w:szCs w:val="20"/>
          <w:color w:val="0000FF"/>
        </w:rPr>
        <w:t>132 NATHAN ROAD, TSIM SHA TSUI, KOWLOON</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HONG</w:t>
            </w: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K3</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000000</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KONG</w:t>
            </w:r>
          </w:p>
        </w:tc>
        <w:tc>
          <w:tcPr>
            <w:tcW w:w="8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3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2940" w:type="dxa"/>
            <w:vAlign w:val="bottom"/>
            <w:tcBorders>
              <w:bottom w:val="single" w:sz="8" w:color="2C2C2C"/>
            </w:tcBorders>
          </w:tcPr>
          <w:p>
            <w:pPr>
              <w:jc w:val="center"/>
              <w:ind w:left="862"/>
              <w:spacing w:after="0"/>
              <w:rPr>
                <w:sz w:val="20"/>
                <w:szCs w:val="20"/>
                <w:color w:val="auto"/>
              </w:rPr>
            </w:pPr>
            <w:r>
              <w:rPr>
                <w:rFonts w:ascii="Times New Roman" w:cs="Times New Roman" w:eastAsia="Times New Roman" w:hAnsi="Times New Roman"/>
                <w:sz w:val="20"/>
                <w:szCs w:val="20"/>
                <w:color w:val="0000FF"/>
                <w:w w:val="97"/>
              </w:rPr>
              <w:t>2,686,630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ordinary shares</w:t>
            </w:r>
            <w:r>
              <w:rPr>
                <w:rFonts w:ascii="Times New Roman" w:cs="Times New Roman" w:eastAsia="Times New Roman" w:hAnsi="Times New Roman"/>
                <w:sz w:val="25"/>
                <w:szCs w:val="25"/>
                <w:color w:val="008000"/>
                <w:vertAlign w:val="superscript"/>
              </w:rPr>
              <w:t>(1)</w:t>
            </w:r>
          </w:p>
        </w:tc>
        <w:tc>
          <w:tcPr>
            <w:tcW w:w="2940" w:type="dxa"/>
            <w:vAlign w:val="bottom"/>
            <w:tcBorders>
              <w:bottom w:val="single" w:sz="8" w:color="2C2C2C"/>
            </w:tcBorders>
          </w:tcPr>
          <w:p>
            <w:pPr>
              <w:jc w:val="center"/>
              <w:ind w:left="842"/>
              <w:spacing w:after="0"/>
              <w:rPr>
                <w:sz w:val="20"/>
                <w:szCs w:val="20"/>
                <w:color w:val="auto"/>
              </w:rPr>
            </w:pPr>
            <w:r>
              <w:rPr>
                <w:rFonts w:ascii="Times New Roman" w:cs="Times New Roman" w:eastAsia="Times New Roman" w:hAnsi="Times New Roman"/>
                <w:sz w:val="20"/>
                <w:szCs w:val="20"/>
                <w:color w:val="0000FF"/>
                <w:w w:val="97"/>
              </w:rPr>
              <w:t>60,726,420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By AlphaGo Robot Limited</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r>
              <w:rPr>
                <w:rFonts w:ascii="Times New Roman" w:cs="Times New Roman" w:eastAsia="Times New Roman" w:hAnsi="Times New Roman"/>
                <w:sz w:val="25"/>
                <w:szCs w:val="25"/>
                <w:color w:val="008000"/>
                <w:vertAlign w:val="superscript"/>
              </w:rPr>
              <w:t>(3)</w:t>
            </w:r>
          </w:p>
        </w:tc>
        <w:tc>
          <w:tcPr>
            <w:tcW w:w="2940" w:type="dxa"/>
            <w:vAlign w:val="bottom"/>
            <w:tcBorders>
              <w:bottom w:val="single" w:sz="8" w:color="2C2C2C"/>
            </w:tcBorders>
          </w:tcPr>
          <w:p>
            <w:pPr>
              <w:jc w:val="center"/>
              <w:ind w:left="842"/>
              <w:spacing w:after="0"/>
              <w:rPr>
                <w:sz w:val="20"/>
                <w:szCs w:val="20"/>
                <w:color w:val="auto"/>
              </w:rPr>
            </w:pPr>
            <w:r>
              <w:rPr>
                <w:rFonts w:ascii="Times New Roman" w:cs="Times New Roman" w:eastAsia="Times New Roman" w:hAnsi="Times New Roman"/>
                <w:sz w:val="20"/>
                <w:szCs w:val="20"/>
                <w:color w:val="0000FF"/>
                <w:w w:val="98"/>
              </w:rPr>
              <w:t>495,736</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(4)</w:t>
            </w:r>
          </w:p>
        </w:tc>
        <w:tc>
          <w:tcPr>
            <w:tcW w:w="2940" w:type="dxa"/>
            <w:vAlign w:val="bottom"/>
            <w:tcBorders>
              <w:bottom w:val="single" w:sz="8" w:color="2C2C2C"/>
            </w:tcBorders>
          </w:tcPr>
          <w:p>
            <w:pPr>
              <w:jc w:val="center"/>
              <w:ind w:left="842"/>
              <w:spacing w:after="0"/>
              <w:rPr>
                <w:sz w:val="20"/>
                <w:szCs w:val="20"/>
                <w:color w:val="auto"/>
              </w:rPr>
            </w:pPr>
            <w:r>
              <w:rPr>
                <w:rFonts w:ascii="Times New Roman" w:cs="Times New Roman" w:eastAsia="Times New Roman" w:hAnsi="Times New Roman"/>
                <w:sz w:val="20"/>
                <w:szCs w:val="20"/>
                <w:color w:val="0000FF"/>
                <w:w w:val="98"/>
              </w:rPr>
              <w:t>213,600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(5)</w:t>
            </w:r>
          </w:p>
        </w:tc>
        <w:tc>
          <w:tcPr>
            <w:tcW w:w="2940" w:type="dxa"/>
            <w:vAlign w:val="bottom"/>
            <w:tcBorders>
              <w:bottom w:val="single" w:sz="8" w:color="2C2C2C"/>
            </w:tcBorders>
          </w:tcPr>
          <w:p>
            <w:pPr>
              <w:jc w:val="center"/>
              <w:ind w:left="842"/>
              <w:spacing w:after="0"/>
              <w:rPr>
                <w:sz w:val="20"/>
                <w:szCs w:val="20"/>
                <w:color w:val="auto"/>
              </w:rPr>
            </w:pPr>
            <w:r>
              <w:rPr>
                <w:rFonts w:ascii="Times New Roman" w:cs="Times New Roman" w:eastAsia="Times New Roman" w:hAnsi="Times New Roman"/>
                <w:sz w:val="20"/>
                <w:szCs w:val="20"/>
                <w:color w:val="0000FF"/>
                <w:w w:val="94"/>
              </w:rPr>
              <w:t>21,560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(6)</w:t>
            </w:r>
          </w:p>
        </w:tc>
        <w:tc>
          <w:tcPr>
            <w:tcW w:w="2940" w:type="dxa"/>
            <w:vAlign w:val="bottom"/>
            <w:tcBorders>
              <w:bottom w:val="single" w:sz="8" w:color="2C2C2C"/>
            </w:tcBorders>
          </w:tcPr>
          <w:p>
            <w:pPr>
              <w:jc w:val="center"/>
              <w:ind w:left="842"/>
              <w:spacing w:after="0"/>
              <w:rPr>
                <w:sz w:val="20"/>
                <w:szCs w:val="20"/>
                <w:color w:val="auto"/>
              </w:rPr>
            </w:pPr>
            <w:r>
              <w:rPr>
                <w:rFonts w:ascii="Times New Roman" w:cs="Times New Roman" w:eastAsia="Times New Roman" w:hAnsi="Times New Roman"/>
                <w:sz w:val="20"/>
                <w:szCs w:val="20"/>
                <w:color w:val="0000FF"/>
                <w:w w:val="98"/>
              </w:rPr>
              <w:t>267,000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(7)</w:t>
            </w:r>
          </w:p>
        </w:tc>
        <w:tc>
          <w:tcPr>
            <w:tcW w:w="2940" w:type="dxa"/>
            <w:vAlign w:val="bottom"/>
            <w:tcBorders>
              <w:bottom w:val="single" w:sz="8" w:color="2C2C2C"/>
            </w:tcBorders>
          </w:tcPr>
          <w:p>
            <w:pPr>
              <w:jc w:val="center"/>
              <w:ind w:left="842"/>
              <w:spacing w:after="0"/>
              <w:rPr>
                <w:sz w:val="20"/>
                <w:szCs w:val="20"/>
                <w:color w:val="auto"/>
              </w:rPr>
            </w:pPr>
            <w:r>
              <w:rPr>
                <w:rFonts w:ascii="Times New Roman" w:cs="Times New Roman" w:eastAsia="Times New Roman" w:hAnsi="Times New Roman"/>
                <w:sz w:val="20"/>
                <w:szCs w:val="20"/>
                <w:color w:val="0000FF"/>
                <w:w w:val="98"/>
              </w:rPr>
              <w:t>445,000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(8)</w:t>
            </w:r>
          </w:p>
        </w:tc>
        <w:tc>
          <w:tcPr>
            <w:tcW w:w="2940" w:type="dxa"/>
            <w:vAlign w:val="bottom"/>
            <w:tcBorders>
              <w:bottom w:val="single" w:sz="8" w:color="2C2C2C"/>
            </w:tcBorders>
          </w:tcPr>
          <w:p>
            <w:pPr>
              <w:jc w:val="center"/>
              <w:ind w:left="842"/>
              <w:spacing w:after="0"/>
              <w:rPr>
                <w:sz w:val="20"/>
                <w:szCs w:val="20"/>
                <w:color w:val="auto"/>
              </w:rPr>
            </w:pPr>
            <w:r>
              <w:rPr>
                <w:rFonts w:ascii="Times New Roman" w:cs="Times New Roman" w:eastAsia="Times New Roman" w:hAnsi="Times New Roman"/>
                <w:sz w:val="20"/>
                <w:szCs w:val="20"/>
                <w:color w:val="0000FF"/>
                <w:w w:val="98"/>
              </w:rPr>
              <w:t>125,210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(9)</w:t>
            </w:r>
          </w:p>
        </w:tc>
        <w:tc>
          <w:tcPr>
            <w:tcW w:w="2940" w:type="dxa"/>
            <w:vAlign w:val="bottom"/>
            <w:tcBorders>
              <w:bottom w:val="single" w:sz="8" w:color="2C2C2C"/>
            </w:tcBorders>
          </w:tcPr>
          <w:p>
            <w:pPr>
              <w:jc w:val="center"/>
              <w:ind w:left="842"/>
              <w:spacing w:after="0"/>
              <w:rPr>
                <w:sz w:val="20"/>
                <w:szCs w:val="20"/>
                <w:color w:val="auto"/>
              </w:rPr>
            </w:pPr>
            <w:r>
              <w:rPr>
                <w:rFonts w:ascii="Times New Roman" w:cs="Times New Roman" w:eastAsia="Times New Roman" w:hAnsi="Times New Roman"/>
                <w:sz w:val="20"/>
                <w:szCs w:val="20"/>
                <w:color w:val="0000FF"/>
                <w:w w:val="98"/>
              </w:rPr>
              <w:t>890,000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(10)</w:t>
            </w:r>
          </w:p>
        </w:tc>
        <w:tc>
          <w:tcPr>
            <w:tcW w:w="2940" w:type="dxa"/>
            <w:vAlign w:val="bottom"/>
            <w:tcBorders>
              <w:bottom w:val="single" w:sz="8" w:color="2C2C2C"/>
            </w:tcBorders>
          </w:tcPr>
          <w:p>
            <w:pPr>
              <w:jc w:val="center"/>
              <w:ind w:left="842"/>
              <w:spacing w:after="0"/>
              <w:rPr>
                <w:sz w:val="20"/>
                <w:szCs w:val="20"/>
                <w:color w:val="auto"/>
              </w:rPr>
            </w:pPr>
            <w:r>
              <w:rPr>
                <w:rFonts w:ascii="Times New Roman" w:cs="Times New Roman" w:eastAsia="Times New Roman" w:hAnsi="Times New Roman"/>
                <w:sz w:val="20"/>
                <w:szCs w:val="20"/>
                <w:color w:val="0000FF"/>
                <w:w w:val="98"/>
              </w:rPr>
              <w:t>305,830</w:t>
            </w:r>
          </w:p>
        </w:tc>
        <w:tc>
          <w:tcPr>
            <w:tcW w:w="1000" w:type="dxa"/>
            <w:vAlign w:val="bottom"/>
            <w:tcBorders>
              <w:bottom w:val="single" w:sz="8" w:color="2C2C2C"/>
            </w:tcBorders>
          </w:tcPr>
          <w:p>
            <w:pPr>
              <w:jc w:val="center"/>
              <w:ind w:left="16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900" w:type="dxa"/>
            <w:vAlign w:val="bottom"/>
            <w:tcBorders>
              <w:top w:val="single" w:sz="8" w:color="808080"/>
            </w:tcBorders>
            <w:shd w:val="clear" w:color="auto" w:fill="2C2C2C"/>
          </w:tcPr>
          <w:p>
            <w:pPr>
              <w:spacing w:after="0" w:line="20" w:lineRule="exact"/>
              <w:rPr>
                <w:sz w:val="1"/>
                <w:szCs w:val="1"/>
                <w:color w:val="auto"/>
              </w:rPr>
            </w:pPr>
          </w:p>
        </w:tc>
        <w:tc>
          <w:tcPr>
            <w:tcW w:w="29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3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8000"/>
              </w:rPr>
              <w:t>(11)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04/27/2027</w:t>
            </w: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285,000</w:t>
            </w:r>
          </w:p>
        </w:tc>
        <w:tc>
          <w:tcPr>
            <w:tcW w:w="10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0000FF"/>
              </w:rPr>
              <w:t>0.5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4"/>
              </w:rPr>
              <w:t>share</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8000"/>
              </w:rPr>
              <w:t>(11)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04/27/2028</w:t>
            </w: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237,500</w:t>
            </w:r>
          </w:p>
        </w:tc>
        <w:tc>
          <w:tcPr>
            <w:tcW w:w="10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0000FF"/>
              </w:rPr>
              <w:t>0.5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4"/>
              </w:rPr>
              <w:t>share</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8000"/>
              </w:rPr>
              <w:t>(11)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04/27/2029</w:t>
            </w: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237,500</w:t>
            </w:r>
          </w:p>
        </w:tc>
        <w:tc>
          <w:tcPr>
            <w:tcW w:w="10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0000FF"/>
              </w:rPr>
              <w:t>0.5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4"/>
              </w:rPr>
              <w:t>share</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8000"/>
              </w:rPr>
              <w:t>(11)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04/27/2030</w:t>
            </w: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142,500</w:t>
            </w:r>
          </w:p>
        </w:tc>
        <w:tc>
          <w:tcPr>
            <w:tcW w:w="10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0000FF"/>
              </w:rPr>
              <w:t>0.5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4"/>
              </w:rPr>
              <w:t>share</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302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74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83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1832610"/>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8000"/>
              </w:rPr>
              <w:t>(11)</w:t>
            </w:r>
          </w:p>
        </w:tc>
        <w:tc>
          <w:tcPr>
            <w:tcW w:w="8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0000FF"/>
              </w:rPr>
              <w:t>04/27/2031</w:t>
            </w:r>
          </w:p>
        </w:tc>
        <w:tc>
          <w:tcPr>
            <w:tcW w:w="17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Class A ordinary</w:t>
            </w: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47,500</w:t>
            </w:r>
          </w:p>
        </w:tc>
        <w:tc>
          <w:tcPr>
            <w:tcW w:w="1000" w:type="dxa"/>
            <w:vAlign w:val="bottom"/>
            <w:vMerge w:val="restart"/>
          </w:tcPr>
          <w:p>
            <w:pPr>
              <w:ind w:left="380"/>
              <w:spacing w:after="0"/>
              <w:rPr>
                <w:sz w:val="20"/>
                <w:szCs w:val="20"/>
                <w:color w:val="auto"/>
              </w:rPr>
            </w:pPr>
            <w:r>
              <w:rPr>
                <w:rFonts w:ascii="Times New Roman" w:cs="Times New Roman" w:eastAsia="Times New Roman" w:hAnsi="Times New Roman"/>
                <w:sz w:val="20"/>
                <w:szCs w:val="20"/>
                <w:color w:val="0000FF"/>
              </w:rPr>
              <w:t>0.5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0000FF"/>
              </w:rPr>
              <w:t>share</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jc w:val="both"/>
        <w:ind w:left="20" w:right="8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holder of Class A ordinary shares of uCloudlink Group Inc. (the "Company") is entitled to one vote per share and each holder of Class B ordinary shares of the Company is entitled to 15 votes per share on all matters submitted to them for a vote. Class B ordinary shares are convertible at any time by the holder thereof into Class A ordinary shares on a one-for-one basis, whereas Class A ordinary shares are not convertible into Class B ordinary shares under any circumstances.</w:t>
      </w:r>
    </w:p>
    <w:p>
      <w:pPr>
        <w:spacing w:after="0" w:line="29" w:lineRule="exact"/>
        <w:rPr>
          <w:rFonts w:ascii="Times New Roman" w:cs="Times New Roman" w:eastAsia="Times New Roman" w:hAnsi="Times New Roman"/>
          <w:sz w:val="15"/>
          <w:szCs w:val="15"/>
          <w:color w:val="008000"/>
        </w:rPr>
      </w:pPr>
    </w:p>
    <w:p>
      <w:pPr>
        <w:ind w:left="20" w:right="6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AlphaGo Robot Limited is wholly owned by Bright Topaz Holding Limited. Bright Topaz Holding Limited is wholly owned by Harmony Peng Trust, a trust established for the benefit of Mr. Zhiping Peng and his family. Mr. Zhiping Peng is the settlor and investment advisor of Harmony Peng Trust, and has the power to direct the disposition and voting of the shares of the Issuer held by Harmony Peng Trust.</w:t>
      </w:r>
    </w:p>
    <w:p>
      <w:pPr>
        <w:spacing w:after="0" w:line="29"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of the Company represents 10 Class A ordinary shares.</w:t>
      </w:r>
    </w:p>
    <w:p>
      <w:pPr>
        <w:spacing w:after="0" w:line="52" w:lineRule="exact"/>
        <w:rPr>
          <w:rFonts w:ascii="Times New Roman" w:cs="Times New Roman" w:eastAsia="Times New Roman" w:hAnsi="Times New Roman"/>
          <w:sz w:val="15"/>
          <w:szCs w:val="15"/>
          <w:color w:val="008000"/>
        </w:rPr>
      </w:pPr>
    </w:p>
    <w:p>
      <w:pPr>
        <w:ind w:left="20" w:right="6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restricted share units ("RSUs") granted to the reporting person on August 30, 2022 pursuant to the Company's share incentive plans. Each RSU represents a contingent right to receive one Class A common share upon vesting. 106,800 RSUs will vest on each of August 30, 2026 and 2027.</w:t>
      </w:r>
    </w:p>
    <w:p>
      <w:pPr>
        <w:spacing w:after="0" w:line="17" w:lineRule="exact"/>
        <w:rPr>
          <w:rFonts w:ascii="Times New Roman" w:cs="Times New Roman" w:eastAsia="Times New Roman" w:hAnsi="Times New Roman"/>
          <w:sz w:val="15"/>
          <w:szCs w:val="15"/>
          <w:color w:val="008000"/>
        </w:rPr>
      </w:pPr>
    </w:p>
    <w:p>
      <w:pPr>
        <w:ind w:left="20" w:right="54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January 1, 2023 pursuant to the Company's share incentive plans. Each RSU represents a contingent right to receive one Class A common share upon vesting. 21,560 RSUs will vest on January 31, 2027.</w:t>
      </w:r>
    </w:p>
    <w:p>
      <w:pPr>
        <w:spacing w:after="0" w:line="17" w:lineRule="exact"/>
        <w:rPr>
          <w:rFonts w:ascii="Times New Roman" w:cs="Times New Roman" w:eastAsia="Times New Roman" w:hAnsi="Times New Roman"/>
          <w:sz w:val="15"/>
          <w:szCs w:val="15"/>
          <w:color w:val="008000"/>
        </w:rPr>
      </w:pPr>
    </w:p>
    <w:p>
      <w:pPr>
        <w:ind w:left="20" w:right="64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May 31, 2023 pursuant to the Company's share incentive plans. Each RSU represents a contingent right to receive one Class A common share upon vesting. 89,000 RSUs will vest on each of May 31, 2026, 2027 and 2028.</w:t>
      </w:r>
    </w:p>
    <w:p>
      <w:pPr>
        <w:spacing w:after="0" w:line="17" w:lineRule="exact"/>
        <w:rPr>
          <w:rFonts w:ascii="Times New Roman" w:cs="Times New Roman" w:eastAsia="Times New Roman" w:hAnsi="Times New Roman"/>
          <w:sz w:val="15"/>
          <w:szCs w:val="15"/>
          <w:color w:val="008000"/>
        </w:rPr>
      </w:pPr>
    </w:p>
    <w:p>
      <w:pPr>
        <w:ind w:left="20" w:right="28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May 31, 2024 pursuant to the Company's share incentive plans. Each RSU represents a contingent right to receive one Class A common share upon vesting. 178,000 RSUs will vest on May 31, 2026. 89,000 RSUs will vest on each of May 31, 2027, 2028 and 2029.</w:t>
      </w:r>
    </w:p>
    <w:p>
      <w:pPr>
        <w:spacing w:after="0" w:line="17" w:lineRule="exact"/>
        <w:rPr>
          <w:rFonts w:ascii="Times New Roman" w:cs="Times New Roman" w:eastAsia="Times New Roman" w:hAnsi="Times New Roman"/>
          <w:sz w:val="15"/>
          <w:szCs w:val="15"/>
          <w:color w:val="008000"/>
        </w:rPr>
      </w:pPr>
    </w:p>
    <w:p>
      <w:pPr>
        <w:ind w:left="20" w:right="28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January 31, 2025 pursuant to the Company's share incentive plans. Each RSU represents a contingent right to receive one Class A common share upon vesting. 50,080 RSUs will vest on May 31, 2026. 25,030 RSUs will vest on each of May 31, 2027 and 2028. 25,070 RSUs will vest on May 31, 2029.</w:t>
      </w:r>
    </w:p>
    <w:p>
      <w:pPr>
        <w:spacing w:after="0" w:line="29" w:lineRule="exact"/>
        <w:rPr>
          <w:rFonts w:ascii="Times New Roman" w:cs="Times New Roman" w:eastAsia="Times New Roman" w:hAnsi="Times New Roman"/>
          <w:sz w:val="15"/>
          <w:szCs w:val="15"/>
          <w:color w:val="008000"/>
        </w:rPr>
      </w:pPr>
    </w:p>
    <w:p>
      <w:pPr>
        <w:ind w:left="20" w:right="60" w:firstLine="5"/>
        <w:spacing w:after="0" w:line="244"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May 31, 2025 pursuant to the Company's share incentive plans. Each RSU represents a contingent right to receive one Class A common share upon vesting. 445,000 RSUs will vest on May 31, 2026. 178,000 RSUs will vest on May 31, 2027. 89,000 RSUs will vest on each of May 31, 2028, 2029 and 2030.</w:t>
      </w:r>
    </w:p>
    <w:p>
      <w:pPr>
        <w:spacing w:after="0" w:line="29" w:lineRule="exact"/>
        <w:rPr>
          <w:rFonts w:ascii="Times New Roman" w:cs="Times New Roman" w:eastAsia="Times New Roman" w:hAnsi="Times New Roman"/>
          <w:sz w:val="15"/>
          <w:szCs w:val="15"/>
          <w:color w:val="008000"/>
        </w:rPr>
      </w:pPr>
    </w:p>
    <w:p>
      <w:pPr>
        <w:ind w:left="20" w:right="140" w:firstLine="5"/>
        <w:spacing w:after="0" w:line="244" w:lineRule="auto"/>
        <w:tabs>
          <w:tab w:leader="none" w:pos="245"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January 31, 2026 pursuant to the Company's share incentive plans. Each RSU represents a contingent right to receive one Class A common share upon vesting. 152,910 RSUs will vest on May 31, 2026. 61,160 RSUs will vest on May 31, 2027. 30,580 RSUs will vest on each of May 31, 2028 and 2029. 30,600 RSUs will vest on May 31, 2030.</w:t>
      </w:r>
    </w:p>
    <w:p>
      <w:pPr>
        <w:spacing w:after="0" w:line="29" w:lineRule="exact"/>
        <w:rPr>
          <w:rFonts w:ascii="Times New Roman" w:cs="Times New Roman" w:eastAsia="Times New Roman" w:hAnsi="Times New Roman"/>
          <w:sz w:val="15"/>
          <w:szCs w:val="15"/>
          <w:color w:val="008000"/>
        </w:rPr>
      </w:pPr>
    </w:p>
    <w:p>
      <w:pPr>
        <w:ind w:left="240" w:hanging="215"/>
        <w:spacing w:after="0"/>
        <w:tabs>
          <w:tab w:leader="none" w:pos="24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 option has fully vested and is exercisable as of the date of this form.</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Zhiping Peng</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220" w:firstLine="5"/>
        <w:spacing w:after="0" w:line="335"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right="6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9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0" Type="http://schemas.openxmlformats.org/officeDocument/2006/relationships/hyperlink" Target="http://www.sec.gov/cgi-bin/browse-edgar?action=getcompany&amp;CIK=0001840441" TargetMode="External"/><Relationship Id="rId11" Type="http://schemas.openxmlformats.org/officeDocument/2006/relationships/hyperlink" Target="http://www.sec.gov/cgi-bin/browse-edgar?action=getcompany&amp;CIK=00017758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2026-03-18T07:50:04Z</dcterms:created>
  <dcterms:modified xsi:type="dcterms:W3CDTF">2026-03-18T07:50:04Z</dcterms:modified>
</cp:coreProperties>
</file>