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150495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March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001-39302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UCLOUDLINK GROUP INC.</w:t>
      </w:r>
    </w:p>
    <w:p>
      <w:pPr>
        <w:spacing w:after="0" w:line="23"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 2214-Rm1, 22/F, Mira Place Tower 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132 Nathan Road, Tsim Sha Tsui</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Kowloon, Hong Kong</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120" w:type="dxa"/>
            <w:vAlign w:val="bottom"/>
          </w:tcPr>
          <w:p>
            <w:pPr>
              <w:jc w:val="center"/>
              <w:ind w:right="203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0" w:type="dxa"/>
            <w:vAlign w:val="bottom"/>
          </w:tcPr>
          <w:p>
            <w:pPr>
              <w:spacing w:after="0"/>
              <w:rPr>
                <w:sz w:val="24"/>
                <w:szCs w:val="24"/>
                <w:color w:val="auto"/>
              </w:rPr>
            </w:pPr>
          </w:p>
        </w:tc>
        <w:tc>
          <w:tcPr>
            <w:tcW w:w="912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9120" w:type="dxa"/>
            <w:vAlign w:val="bottom"/>
            <w:tcBorders>
              <w:top w:val="single" w:sz="8" w:color="CCEEFF"/>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1</w:t>
            </w:r>
          </w:p>
        </w:tc>
      </w:tr>
    </w:tbl>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UCLOUDLINK GROUP INC.</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Chaohui Chen</w:t>
            </w:r>
          </w:p>
        </w:tc>
      </w:tr>
      <w:tr>
        <w:trPr>
          <w:trHeight w:val="198"/>
        </w:trPr>
        <w:tc>
          <w:tcPr>
            <w:tcW w:w="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Chaohui Chen</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18,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UCLOUDLINK GROUP INC. Announces Unaudited Fourth Quarter and Full Year 2025 Financial Results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Hong Kong, March 18, 2026 – UCLOUDLINK GROUP INC. (“UCLOUDLINK” or the “Company”) (NASDAQ: UCL), the world’s first and leading mobile data traffic sharing marketplace, today announced its unaudited financial results for the three months and the full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Financial Highlights</w:t>
      </w:r>
    </w:p>
    <w:p>
      <w:pPr>
        <w:spacing w:after="0" w:line="225"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were US$22.1 million, representing a decrease of 14.6% from US$26.0 million in the fourth quarter of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was US$11.4 million, representing an increase of 2.3% from US$11.2 million in the fourth quarter of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Loss from operations </w:t>
      </w:r>
      <w:r>
        <w:rPr>
          <w:rFonts w:ascii="Times New Roman" w:cs="Times New Roman" w:eastAsia="Times New Roman" w:hAnsi="Times New Roman"/>
          <w:sz w:val="18"/>
          <w:szCs w:val="18"/>
          <w:color w:val="auto"/>
        </w:rPr>
        <w:t>was US$1.6 million, compared to US$1.7 million in the fourth quarter of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was US$3.1 million, compared to US$1.5 million in the fourth quarter of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net income (non-GAAP) </w:t>
      </w:r>
      <w:r>
        <w:rPr>
          <w:rFonts w:ascii="Times New Roman" w:cs="Times New Roman" w:eastAsia="Times New Roman" w:hAnsi="Times New Roman"/>
          <w:sz w:val="18"/>
          <w:szCs w:val="18"/>
          <w:color w:val="auto"/>
        </w:rPr>
        <w:t>was US$1.0 million, compared to adjusted net loss of US$3.1 million in the fourth quarter of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(non-GAAP) </w:t>
      </w:r>
      <w:r>
        <w:rPr>
          <w:rFonts w:ascii="Times New Roman" w:cs="Times New Roman" w:eastAsia="Times New Roman" w:hAnsi="Times New Roman"/>
          <w:sz w:val="18"/>
          <w:szCs w:val="18"/>
          <w:color w:val="auto"/>
        </w:rPr>
        <w:t>was US$3.1 million, compared to negative US$2.3 million in the fourth quarter of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2025 Financial Highlights</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were US$81.4 million, representing a decrease of 11.1% from US$91.6 million in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was US$42.7 million, representing a decrease of 3.8% from US$44.4 million in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Income from operations </w:t>
      </w:r>
      <w:r>
        <w:rPr>
          <w:rFonts w:ascii="Times New Roman" w:cs="Times New Roman" w:eastAsia="Times New Roman" w:hAnsi="Times New Roman"/>
          <w:sz w:val="18"/>
          <w:szCs w:val="18"/>
          <w:color w:val="auto"/>
        </w:rPr>
        <w:t>was US$8.0 million, compared to US$4.4 million in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US$6.3 million, compared to US$4.6 million in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net income (non-GAAP) </w:t>
      </w:r>
      <w:r>
        <w:rPr>
          <w:rFonts w:ascii="Times New Roman" w:cs="Times New Roman" w:eastAsia="Times New Roman" w:hAnsi="Times New Roman"/>
          <w:sz w:val="18"/>
          <w:szCs w:val="18"/>
          <w:color w:val="auto"/>
        </w:rPr>
        <w:t>was US$2.7 million, compared to US$4.5 million in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(non-GAAP) </w:t>
      </w:r>
      <w:r>
        <w:rPr>
          <w:rFonts w:ascii="Times New Roman" w:cs="Times New Roman" w:eastAsia="Times New Roman" w:hAnsi="Times New Roman"/>
          <w:sz w:val="18"/>
          <w:szCs w:val="18"/>
          <w:color w:val="auto"/>
        </w:rPr>
        <w:t>was US$7.2 million, compared to US$7.1 million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Fourth Quarter 2025 Operational Highlights</w:t>
      </w:r>
    </w:p>
    <w:p>
      <w:pPr>
        <w:spacing w:after="0" w:line="229" w:lineRule="exact"/>
        <w:rPr>
          <w:sz w:val="20"/>
          <w:szCs w:val="20"/>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data consumed through the Company’s platform was 46,511 terabytes (6,529 terabytes procured by the Company and 39,982 terabytes procured by our business partners), representing an increase of 9.2% from 42,577 terabytes in the fourth quarter of 2024.</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proportion of daily active terminals, 57.1% were from uCloudlink 1.0 international data connectivity services and 42.9% of daily active terminals were from uCloudlink 2.0 local data connectivity services during the fourth quarter of 2025. Average daily data usage per terminal was 1.59 GB in December 2025.</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active terminals (“DAT”) in the fourth quarter were 328,847 (15,636 owned by the Company and 313,211 owned by our business partners), representing an increase of 6.6% from 308,386 in the fourth quarter of 2024.</w:t>
      </w:r>
    </w:p>
    <w:p>
      <w:pPr>
        <w:spacing w:after="0" w:line="159"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Average DAT in the fourth quarter from </w:t>
      </w:r>
      <w:r>
        <w:rPr>
          <w:rFonts w:ascii="Times New Roman" w:cs="Times New Roman" w:eastAsia="Times New Roman" w:hAnsi="Times New Roman"/>
          <w:sz w:val="18"/>
          <w:szCs w:val="18"/>
          <w:i w:val="1"/>
          <w:iCs w:val="1"/>
          <w:color w:val="auto"/>
        </w:rPr>
        <w:t>GlocalMe</w:t>
      </w:r>
      <w:r>
        <w:rPr>
          <w:rFonts w:ascii="Times New Roman" w:cs="Times New Roman" w:eastAsia="Times New Roman" w:hAnsi="Times New Roman"/>
          <w:sz w:val="18"/>
          <w:szCs w:val="18"/>
          <w:color w:val="auto"/>
        </w:rPr>
        <w:t xml:space="preserve"> IoT business was 23,785, representing an increase of 434.8% from 4,447 in the fourth quarter of 2024.</w:t>
      </w:r>
    </w:p>
    <w:p>
      <w:pPr>
        <w:spacing w:after="0" w:line="158" w:lineRule="exact"/>
        <w:rPr>
          <w:rFonts w:ascii="Times New Roman" w:cs="Times New Roman" w:eastAsia="Times New Roman" w:hAnsi="Times New Roman"/>
          <w:sz w:val="18"/>
          <w:szCs w:val="18"/>
          <w:color w:val="auto"/>
        </w:rPr>
      </w:pPr>
    </w:p>
    <w:p>
      <w:pPr>
        <w:ind w:left="980" w:right="20" w:hanging="324"/>
        <w:spacing w:after="0" w:line="284"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Average DAT in the fourth quarter from </w:t>
      </w:r>
      <w:r>
        <w:rPr>
          <w:rFonts w:ascii="Times New Roman" w:cs="Times New Roman" w:eastAsia="Times New Roman" w:hAnsi="Times New Roman"/>
          <w:sz w:val="18"/>
          <w:szCs w:val="18"/>
          <w:i w:val="1"/>
          <w:iCs w:val="1"/>
          <w:color w:val="auto"/>
        </w:rPr>
        <w:t>GlocalMe</w:t>
      </w:r>
      <w:r>
        <w:rPr>
          <w:rFonts w:ascii="Times New Roman" w:cs="Times New Roman" w:eastAsia="Times New Roman" w:hAnsi="Times New Roman"/>
          <w:sz w:val="18"/>
          <w:szCs w:val="18"/>
          <w:color w:val="auto"/>
        </w:rPr>
        <w:t xml:space="preserve"> SIM business was 10,230, representing an increase of 180.8% from 3,643 in the fourth quarter of 2024.</w:t>
      </w:r>
    </w:p>
    <w:p>
      <w:pPr>
        <w:spacing w:after="0" w:line="158"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Average DAT in the fourth quarter from </w:t>
      </w:r>
      <w:r>
        <w:rPr>
          <w:rFonts w:ascii="Times New Roman" w:cs="Times New Roman" w:eastAsia="Times New Roman" w:hAnsi="Times New Roman"/>
          <w:sz w:val="18"/>
          <w:szCs w:val="18"/>
          <w:i w:val="1"/>
          <w:iCs w:val="1"/>
          <w:color w:val="auto"/>
        </w:rPr>
        <w:t>GlocalMe</w:t>
      </w:r>
      <w:r>
        <w:rPr>
          <w:rFonts w:ascii="Times New Roman" w:cs="Times New Roman" w:eastAsia="Times New Roman" w:hAnsi="Times New Roman"/>
          <w:sz w:val="18"/>
          <w:szCs w:val="18"/>
          <w:color w:val="auto"/>
        </w:rPr>
        <w:t xml:space="preserve"> Life business was 3,119, representing an increase of 897.9% from 313 in the fourth quarter of 2024.</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Average DAT in the fourth quarter from </w:t>
      </w:r>
      <w:r>
        <w:rPr>
          <w:rFonts w:ascii="Times New Roman" w:cs="Times New Roman" w:eastAsia="Times New Roman" w:hAnsi="Times New Roman"/>
          <w:sz w:val="18"/>
          <w:szCs w:val="18"/>
          <w:i w:val="1"/>
          <w:iCs w:val="1"/>
          <w:color w:val="auto"/>
        </w:rPr>
        <w:t>PetPhone</w:t>
      </w:r>
      <w:r>
        <w:rPr>
          <w:rFonts w:ascii="Times New Roman" w:cs="Times New Roman" w:eastAsia="Times New Roman" w:hAnsi="Times New Roman"/>
          <w:sz w:val="18"/>
          <w:szCs w:val="18"/>
          <w:color w:val="auto"/>
        </w:rPr>
        <w:t xml:space="preserve"> business was 257, as compared with nil in the fourth quarter of 2024.</w:t>
      </w:r>
    </w:p>
    <w:p>
      <w:pPr>
        <w:spacing w:after="0" w:line="225"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Average DAT in the fourth quarter from </w:t>
      </w:r>
      <w:r>
        <w:rPr>
          <w:rFonts w:ascii="Times New Roman" w:cs="Times New Roman" w:eastAsia="Times New Roman" w:hAnsi="Times New Roman"/>
          <w:sz w:val="18"/>
          <w:szCs w:val="18"/>
          <w:i w:val="1"/>
          <w:iCs w:val="1"/>
          <w:color w:val="auto"/>
        </w:rPr>
        <w:t>GlocalMe MeowGo</w:t>
      </w:r>
      <w:r>
        <w:rPr>
          <w:rFonts w:ascii="Times New Roman" w:cs="Times New Roman" w:eastAsia="Times New Roman" w:hAnsi="Times New Roman"/>
          <w:sz w:val="18"/>
          <w:szCs w:val="18"/>
          <w:color w:val="auto"/>
        </w:rPr>
        <w:t xml:space="preserve"> business, which was previously referred to as </w:t>
      </w:r>
      <w:r>
        <w:rPr>
          <w:rFonts w:ascii="Times New Roman" w:cs="Times New Roman" w:eastAsia="Times New Roman" w:hAnsi="Times New Roman"/>
          <w:sz w:val="18"/>
          <w:szCs w:val="18"/>
          <w:i w:val="1"/>
          <w:iCs w:val="1"/>
          <w:color w:val="auto"/>
        </w:rPr>
        <w:t>GlocalMe mobile/fixed broadband</w:t>
      </w:r>
      <w:r>
        <w:rPr>
          <w:rFonts w:ascii="Times New Roman" w:cs="Times New Roman" w:eastAsia="Times New Roman" w:hAnsi="Times New Roman"/>
          <w:sz w:val="18"/>
          <w:szCs w:val="18"/>
          <w:color w:val="auto"/>
        </w:rPr>
        <w:t xml:space="preserve"> business, was 291,456, representing a decrease of 2.8% from 299,983 in the fourth quarter of 2024.</w:t>
      </w:r>
    </w:p>
    <w:p>
      <w:pPr>
        <w:spacing w:after="0" w:line="16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active terminals (“MAT”) in the fourth quarter were 704,393, representing an increase of 11.1% from 634,245 in the fourth quarter of 2024.</w:t>
      </w:r>
    </w:p>
    <w:p>
      <w:pPr>
        <w:spacing w:after="0" w:line="159"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Average MAT in the fourth quarter from </w:t>
      </w:r>
      <w:r>
        <w:rPr>
          <w:rFonts w:ascii="Times New Roman" w:cs="Times New Roman" w:eastAsia="Times New Roman" w:hAnsi="Times New Roman"/>
          <w:sz w:val="18"/>
          <w:szCs w:val="18"/>
          <w:i w:val="1"/>
          <w:iCs w:val="1"/>
          <w:color w:val="auto"/>
        </w:rPr>
        <w:t>GlocalMe</w:t>
      </w:r>
      <w:r>
        <w:rPr>
          <w:rFonts w:ascii="Times New Roman" w:cs="Times New Roman" w:eastAsia="Times New Roman" w:hAnsi="Times New Roman"/>
          <w:sz w:val="18"/>
          <w:szCs w:val="18"/>
          <w:color w:val="auto"/>
        </w:rPr>
        <w:t xml:space="preserve"> IoT business was 45,997, representing an increase of 127.5% from 20,222 in the fourth quarter of 2024.</w:t>
      </w:r>
    </w:p>
    <w:p>
      <w:pPr>
        <w:spacing w:after="0" w:line="158"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Average MAT in the fourth quarter from </w:t>
      </w:r>
      <w:r>
        <w:rPr>
          <w:rFonts w:ascii="Times New Roman" w:cs="Times New Roman" w:eastAsia="Times New Roman" w:hAnsi="Times New Roman"/>
          <w:sz w:val="18"/>
          <w:szCs w:val="18"/>
          <w:i w:val="1"/>
          <w:iCs w:val="1"/>
          <w:color w:val="auto"/>
        </w:rPr>
        <w:t>GlocalMe</w:t>
      </w:r>
      <w:r>
        <w:rPr>
          <w:rFonts w:ascii="Times New Roman" w:cs="Times New Roman" w:eastAsia="Times New Roman" w:hAnsi="Times New Roman"/>
          <w:sz w:val="18"/>
          <w:szCs w:val="18"/>
          <w:color w:val="auto"/>
        </w:rPr>
        <w:t xml:space="preserve"> SIM business was 67,029, representing an increase of 153.8% from 26,411 in the fourth quarter of 2024.</w:t>
      </w:r>
    </w:p>
    <w:p>
      <w:pPr>
        <w:spacing w:after="0" w:line="158" w:lineRule="exact"/>
        <w:rPr>
          <w:rFonts w:ascii="Times New Roman" w:cs="Times New Roman" w:eastAsia="Times New Roman" w:hAnsi="Times New Roman"/>
          <w:sz w:val="18"/>
          <w:szCs w:val="18"/>
          <w:color w:val="auto"/>
        </w:rPr>
      </w:pPr>
    </w:p>
    <w:p>
      <w:pPr>
        <w:ind w:left="980" w:right="20" w:hanging="324"/>
        <w:spacing w:after="0" w:line="284"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Average MAT in the fourth quarter from </w:t>
      </w:r>
      <w:r>
        <w:rPr>
          <w:rFonts w:ascii="Times New Roman" w:cs="Times New Roman" w:eastAsia="Times New Roman" w:hAnsi="Times New Roman"/>
          <w:sz w:val="18"/>
          <w:szCs w:val="18"/>
          <w:i w:val="1"/>
          <w:iCs w:val="1"/>
          <w:color w:val="auto"/>
        </w:rPr>
        <w:t>GlocalMe</w:t>
      </w:r>
      <w:r>
        <w:rPr>
          <w:rFonts w:ascii="Times New Roman" w:cs="Times New Roman" w:eastAsia="Times New Roman" w:hAnsi="Times New Roman"/>
          <w:sz w:val="18"/>
          <w:szCs w:val="18"/>
          <w:color w:val="auto"/>
        </w:rPr>
        <w:t xml:space="preserve"> Life business was 7,334, representing an increase of 616.9% from 1,023 in the fourth quarter of 2024.</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Average MAT in the fourth quarter from </w:t>
      </w:r>
      <w:r>
        <w:rPr>
          <w:rFonts w:ascii="Times New Roman" w:cs="Times New Roman" w:eastAsia="Times New Roman" w:hAnsi="Times New Roman"/>
          <w:sz w:val="18"/>
          <w:szCs w:val="18"/>
          <w:i w:val="1"/>
          <w:iCs w:val="1"/>
          <w:color w:val="auto"/>
        </w:rPr>
        <w:t>PetPhone</w:t>
      </w:r>
      <w:r>
        <w:rPr>
          <w:rFonts w:ascii="Times New Roman" w:cs="Times New Roman" w:eastAsia="Times New Roman" w:hAnsi="Times New Roman"/>
          <w:sz w:val="18"/>
          <w:szCs w:val="18"/>
          <w:color w:val="auto"/>
        </w:rPr>
        <w:t xml:space="preserve"> business was 571, as compared with nil in the fourth quarter of 2024.</w:t>
      </w:r>
    </w:p>
    <w:p>
      <w:pPr>
        <w:spacing w:after="0" w:line="225"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Average MAT in the fourth quarter from </w:t>
      </w:r>
      <w:r>
        <w:rPr>
          <w:rFonts w:ascii="Times New Roman" w:cs="Times New Roman" w:eastAsia="Times New Roman" w:hAnsi="Times New Roman"/>
          <w:sz w:val="18"/>
          <w:szCs w:val="18"/>
          <w:i w:val="1"/>
          <w:iCs w:val="1"/>
          <w:color w:val="auto"/>
        </w:rPr>
        <w:t>GlocalMe MeowGo</w:t>
      </w:r>
      <w:r>
        <w:rPr>
          <w:rFonts w:ascii="Times New Roman" w:cs="Times New Roman" w:eastAsia="Times New Roman" w:hAnsi="Times New Roman"/>
          <w:sz w:val="18"/>
          <w:szCs w:val="18"/>
          <w:color w:val="auto"/>
        </w:rPr>
        <w:t xml:space="preserve"> business was 583,462, representing a decrease of 0.5% from 586,589 in the fourth quarter of 2024.</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active users (“DAU”) in the fourth quarter were 353,278, representing an increase of 10.4% from 320,037 in the fourth quarter of 2024.</w:t>
      </w:r>
    </w:p>
    <w:p>
      <w:pPr>
        <w:spacing w:after="0" w:line="159" w:lineRule="exact"/>
        <w:rPr>
          <w:rFonts w:ascii="Times New Roman" w:cs="Times New Roman" w:eastAsia="Times New Roman" w:hAnsi="Times New Roman"/>
          <w:sz w:val="18"/>
          <w:szCs w:val="18"/>
          <w:color w:val="auto"/>
        </w:rPr>
      </w:pPr>
    </w:p>
    <w:p>
      <w:pPr>
        <w:ind w:left="648" w:hanging="324"/>
        <w:spacing w:after="0" w:line="284" w:lineRule="auto"/>
        <w:tabs>
          <w:tab w:leader="none" w:pos="64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Average DAU in the fourth quarter from </w:t>
      </w:r>
      <w:r>
        <w:rPr>
          <w:rFonts w:ascii="Times New Roman" w:cs="Times New Roman" w:eastAsia="Times New Roman" w:hAnsi="Times New Roman"/>
          <w:sz w:val="18"/>
          <w:szCs w:val="18"/>
          <w:i w:val="1"/>
          <w:iCs w:val="1"/>
          <w:color w:val="auto"/>
        </w:rPr>
        <w:t>GlocalMe</w:t>
      </w:r>
      <w:r>
        <w:rPr>
          <w:rFonts w:ascii="Times New Roman" w:cs="Times New Roman" w:eastAsia="Times New Roman" w:hAnsi="Times New Roman"/>
          <w:sz w:val="18"/>
          <w:szCs w:val="18"/>
          <w:color w:val="auto"/>
        </w:rPr>
        <w:t xml:space="preserve"> IoT business was 31,900, representing an increase of 558.7% from 4,843 in the fourth quarter of 2024.</w:t>
      </w:r>
    </w:p>
    <w:p>
      <w:pPr>
        <w:spacing w:after="0" w:line="158" w:lineRule="exact"/>
        <w:rPr>
          <w:rFonts w:ascii="Times New Roman" w:cs="Times New Roman" w:eastAsia="Times New Roman" w:hAnsi="Times New Roman"/>
          <w:sz w:val="18"/>
          <w:szCs w:val="18"/>
          <w:color w:val="auto"/>
        </w:rPr>
      </w:pPr>
    </w:p>
    <w:p>
      <w:pPr>
        <w:ind w:left="648" w:right="20" w:hanging="324"/>
        <w:spacing w:after="0" w:line="284" w:lineRule="auto"/>
        <w:tabs>
          <w:tab w:leader="none" w:pos="64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Average DAU in the fourth quarter from </w:t>
      </w:r>
      <w:r>
        <w:rPr>
          <w:rFonts w:ascii="Times New Roman" w:cs="Times New Roman" w:eastAsia="Times New Roman" w:hAnsi="Times New Roman"/>
          <w:sz w:val="18"/>
          <w:szCs w:val="18"/>
          <w:i w:val="1"/>
          <w:iCs w:val="1"/>
          <w:color w:val="auto"/>
        </w:rPr>
        <w:t>GlocalMe</w:t>
      </w:r>
      <w:r>
        <w:rPr>
          <w:rFonts w:ascii="Times New Roman" w:cs="Times New Roman" w:eastAsia="Times New Roman" w:hAnsi="Times New Roman"/>
          <w:sz w:val="18"/>
          <w:szCs w:val="18"/>
          <w:color w:val="auto"/>
        </w:rPr>
        <w:t xml:space="preserve"> SIM business was 19,362, representing an increase of 349.8% from 4,305 in the fourth quarter of 2024.</w:t>
      </w:r>
    </w:p>
    <w:p>
      <w:pPr>
        <w:spacing w:after="0" w:line="158" w:lineRule="exact"/>
        <w:rPr>
          <w:rFonts w:ascii="Times New Roman" w:cs="Times New Roman" w:eastAsia="Times New Roman" w:hAnsi="Times New Roman"/>
          <w:sz w:val="18"/>
          <w:szCs w:val="18"/>
          <w:color w:val="auto"/>
        </w:rPr>
      </w:pPr>
    </w:p>
    <w:p>
      <w:pPr>
        <w:ind w:left="648" w:hanging="324"/>
        <w:spacing w:after="0" w:line="284" w:lineRule="auto"/>
        <w:tabs>
          <w:tab w:leader="none" w:pos="64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Average DAU in the fourth quarter from </w:t>
      </w:r>
      <w:r>
        <w:rPr>
          <w:rFonts w:ascii="Times New Roman" w:cs="Times New Roman" w:eastAsia="Times New Roman" w:hAnsi="Times New Roman"/>
          <w:sz w:val="18"/>
          <w:szCs w:val="18"/>
          <w:i w:val="1"/>
          <w:iCs w:val="1"/>
          <w:color w:val="auto"/>
        </w:rPr>
        <w:t>GlocalMe</w:t>
      </w:r>
      <w:r>
        <w:rPr>
          <w:rFonts w:ascii="Times New Roman" w:cs="Times New Roman" w:eastAsia="Times New Roman" w:hAnsi="Times New Roman"/>
          <w:sz w:val="18"/>
          <w:szCs w:val="18"/>
          <w:color w:val="auto"/>
        </w:rPr>
        <w:t xml:space="preserve"> Life business was 3,579, representing an increase of 409.1% from 703 in the fourth quarter of 2024.</w:t>
      </w:r>
    </w:p>
    <w:p>
      <w:pPr>
        <w:spacing w:after="0" w:line="158"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Average DAU in the fourth quarter from </w:t>
      </w:r>
      <w:r>
        <w:rPr>
          <w:rFonts w:ascii="Times New Roman" w:cs="Times New Roman" w:eastAsia="Times New Roman" w:hAnsi="Times New Roman"/>
          <w:sz w:val="18"/>
          <w:szCs w:val="18"/>
          <w:i w:val="1"/>
          <w:iCs w:val="1"/>
          <w:color w:val="auto"/>
        </w:rPr>
        <w:t>PetPhone</w:t>
      </w:r>
      <w:r>
        <w:rPr>
          <w:rFonts w:ascii="Times New Roman" w:cs="Times New Roman" w:eastAsia="Times New Roman" w:hAnsi="Times New Roman"/>
          <w:sz w:val="18"/>
          <w:szCs w:val="18"/>
          <w:color w:val="auto"/>
        </w:rPr>
        <w:t xml:space="preserve"> business was 745, as compared with nil in the fourth quarter of 2024.</w:t>
      </w:r>
    </w:p>
    <w:p>
      <w:pPr>
        <w:spacing w:after="0" w:line="225" w:lineRule="exact"/>
        <w:rPr>
          <w:rFonts w:ascii="Times New Roman" w:cs="Times New Roman" w:eastAsia="Times New Roman" w:hAnsi="Times New Roman"/>
          <w:sz w:val="18"/>
          <w:szCs w:val="18"/>
          <w:color w:val="auto"/>
        </w:rPr>
      </w:pPr>
    </w:p>
    <w:p>
      <w:pPr>
        <w:ind w:left="648" w:hanging="324"/>
        <w:spacing w:after="0" w:line="284" w:lineRule="auto"/>
        <w:tabs>
          <w:tab w:leader="none" w:pos="64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Average DAU in the fourth quarter from </w:t>
      </w:r>
      <w:r>
        <w:rPr>
          <w:rFonts w:ascii="Times New Roman" w:cs="Times New Roman" w:eastAsia="Times New Roman" w:hAnsi="Times New Roman"/>
          <w:sz w:val="18"/>
          <w:szCs w:val="18"/>
          <w:i w:val="1"/>
          <w:iCs w:val="1"/>
          <w:color w:val="auto"/>
        </w:rPr>
        <w:t>GlocalMe MeowGo</w:t>
      </w:r>
      <w:r>
        <w:rPr>
          <w:rFonts w:ascii="Times New Roman" w:cs="Times New Roman" w:eastAsia="Times New Roman" w:hAnsi="Times New Roman"/>
          <w:sz w:val="18"/>
          <w:szCs w:val="18"/>
          <w:color w:val="auto"/>
        </w:rPr>
        <w:t xml:space="preserve"> business was 297,692, representing a decrease of 4.0% from 310,186 in the fourth quarter of 2024.</w:t>
      </w:r>
    </w:p>
    <w:p>
      <w:pPr>
        <w:spacing w:after="0" w:line="160"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active users (“MAU”) in the fourth quarter were 738,777, representing an increase of 9.2% from 676,610 in the fourth quarter of 2024.</w:t>
      </w:r>
    </w:p>
    <w:p>
      <w:pPr>
        <w:spacing w:after="0" w:line="159" w:lineRule="exact"/>
        <w:rPr>
          <w:rFonts w:ascii="Times New Roman" w:cs="Times New Roman" w:eastAsia="Times New Roman" w:hAnsi="Times New Roman"/>
          <w:sz w:val="18"/>
          <w:szCs w:val="18"/>
          <w:color w:val="auto"/>
        </w:rPr>
      </w:pPr>
    </w:p>
    <w:p>
      <w:pPr>
        <w:ind w:left="648" w:hanging="324"/>
        <w:spacing w:after="0" w:line="284" w:lineRule="auto"/>
        <w:tabs>
          <w:tab w:leader="none" w:pos="64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Average MAU in the fourth quarter from </w:t>
      </w:r>
      <w:r>
        <w:rPr>
          <w:rFonts w:ascii="Times New Roman" w:cs="Times New Roman" w:eastAsia="Times New Roman" w:hAnsi="Times New Roman"/>
          <w:sz w:val="18"/>
          <w:szCs w:val="18"/>
          <w:i w:val="1"/>
          <w:iCs w:val="1"/>
          <w:color w:val="auto"/>
        </w:rPr>
        <w:t>GlocalMe</w:t>
      </w:r>
      <w:r>
        <w:rPr>
          <w:rFonts w:ascii="Times New Roman" w:cs="Times New Roman" w:eastAsia="Times New Roman" w:hAnsi="Times New Roman"/>
          <w:sz w:val="18"/>
          <w:szCs w:val="18"/>
          <w:color w:val="auto"/>
        </w:rPr>
        <w:t xml:space="preserve"> IoT business was 50,550, representing an increase of 66.0% from 30,454 in the fourth quarter of 2024.</w:t>
      </w:r>
    </w:p>
    <w:p>
      <w:pPr>
        <w:spacing w:after="0" w:line="158" w:lineRule="exact"/>
        <w:rPr>
          <w:rFonts w:ascii="Times New Roman" w:cs="Times New Roman" w:eastAsia="Times New Roman" w:hAnsi="Times New Roman"/>
          <w:sz w:val="18"/>
          <w:szCs w:val="18"/>
          <w:color w:val="auto"/>
        </w:rPr>
      </w:pPr>
    </w:p>
    <w:p>
      <w:pPr>
        <w:ind w:left="648" w:hanging="324"/>
        <w:spacing w:after="0" w:line="284" w:lineRule="auto"/>
        <w:tabs>
          <w:tab w:leader="none" w:pos="64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Average MAU in the fourth quarter from </w:t>
      </w:r>
      <w:r>
        <w:rPr>
          <w:rFonts w:ascii="Times New Roman" w:cs="Times New Roman" w:eastAsia="Times New Roman" w:hAnsi="Times New Roman"/>
          <w:sz w:val="18"/>
          <w:szCs w:val="18"/>
          <w:i w:val="1"/>
          <w:iCs w:val="1"/>
          <w:color w:val="auto"/>
        </w:rPr>
        <w:t>GlocalMe</w:t>
      </w:r>
      <w:r>
        <w:rPr>
          <w:rFonts w:ascii="Times New Roman" w:cs="Times New Roman" w:eastAsia="Times New Roman" w:hAnsi="Times New Roman"/>
          <w:sz w:val="18"/>
          <w:szCs w:val="18"/>
          <w:color w:val="auto"/>
        </w:rPr>
        <w:t xml:space="preserve"> SIM business was 79,474, representing an increase of 153.3% from 31,375 in the fourth quarter of 2024.</w:t>
      </w:r>
    </w:p>
    <w:p>
      <w:pPr>
        <w:spacing w:after="0" w:line="158" w:lineRule="exact"/>
        <w:rPr>
          <w:rFonts w:ascii="Times New Roman" w:cs="Times New Roman" w:eastAsia="Times New Roman" w:hAnsi="Times New Roman"/>
          <w:sz w:val="18"/>
          <w:szCs w:val="18"/>
          <w:color w:val="auto"/>
        </w:rPr>
      </w:pPr>
    </w:p>
    <w:p>
      <w:pPr>
        <w:ind w:left="648" w:hanging="324"/>
        <w:spacing w:after="0" w:line="284" w:lineRule="auto"/>
        <w:tabs>
          <w:tab w:leader="none" w:pos="64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Average MAU in the fourth quarter from </w:t>
      </w:r>
      <w:r>
        <w:rPr>
          <w:rFonts w:ascii="Times New Roman" w:cs="Times New Roman" w:eastAsia="Times New Roman" w:hAnsi="Times New Roman"/>
          <w:sz w:val="18"/>
          <w:szCs w:val="18"/>
          <w:i w:val="1"/>
          <w:iCs w:val="1"/>
          <w:color w:val="auto"/>
        </w:rPr>
        <w:t>GlocalMe</w:t>
      </w:r>
      <w:r>
        <w:rPr>
          <w:rFonts w:ascii="Times New Roman" w:cs="Times New Roman" w:eastAsia="Times New Roman" w:hAnsi="Times New Roman"/>
          <w:sz w:val="18"/>
          <w:szCs w:val="18"/>
          <w:color w:val="auto"/>
        </w:rPr>
        <w:t xml:space="preserve"> Life business was 8,117, representing an increase of 460.2% from 1,449 in the fourth quarter of 2024.</w:t>
      </w:r>
    </w:p>
    <w:p>
      <w:pPr>
        <w:spacing w:after="0" w:line="158"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Average MAU in the fourth quarter from </w:t>
      </w:r>
      <w:r>
        <w:rPr>
          <w:rFonts w:ascii="Times New Roman" w:cs="Times New Roman" w:eastAsia="Times New Roman" w:hAnsi="Times New Roman"/>
          <w:sz w:val="18"/>
          <w:szCs w:val="18"/>
          <w:i w:val="1"/>
          <w:iCs w:val="1"/>
          <w:color w:val="auto"/>
        </w:rPr>
        <w:t>PetPhone</w:t>
      </w:r>
      <w:r>
        <w:rPr>
          <w:rFonts w:ascii="Times New Roman" w:cs="Times New Roman" w:eastAsia="Times New Roman" w:hAnsi="Times New Roman"/>
          <w:sz w:val="18"/>
          <w:szCs w:val="18"/>
          <w:color w:val="auto"/>
        </w:rPr>
        <w:t xml:space="preserve"> business was 977, as compared with nil in the fourth quarter of 2024.</w:t>
      </w:r>
    </w:p>
    <w:p>
      <w:pPr>
        <w:spacing w:after="0" w:line="225" w:lineRule="exact"/>
        <w:rPr>
          <w:rFonts w:ascii="Times New Roman" w:cs="Times New Roman" w:eastAsia="Times New Roman" w:hAnsi="Times New Roman"/>
          <w:sz w:val="18"/>
          <w:szCs w:val="18"/>
          <w:color w:val="auto"/>
        </w:rPr>
      </w:pPr>
    </w:p>
    <w:p>
      <w:pPr>
        <w:ind w:left="648" w:hanging="324"/>
        <w:spacing w:after="0" w:line="284" w:lineRule="auto"/>
        <w:tabs>
          <w:tab w:leader="none" w:pos="64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Average MAU in the fourth quarter from </w:t>
      </w:r>
      <w:r>
        <w:rPr>
          <w:rFonts w:ascii="Times New Roman" w:cs="Times New Roman" w:eastAsia="Times New Roman" w:hAnsi="Times New Roman"/>
          <w:sz w:val="18"/>
          <w:szCs w:val="18"/>
          <w:i w:val="1"/>
          <w:iCs w:val="1"/>
          <w:color w:val="auto"/>
        </w:rPr>
        <w:t>GlocalMe MeowGo</w:t>
      </w:r>
      <w:r>
        <w:rPr>
          <w:rFonts w:ascii="Times New Roman" w:cs="Times New Roman" w:eastAsia="Times New Roman" w:hAnsi="Times New Roman"/>
          <w:sz w:val="18"/>
          <w:szCs w:val="18"/>
          <w:color w:val="auto"/>
        </w:rPr>
        <w:t xml:space="preserve"> business was 599,659, representing a decrease of 2.2% from 613,332 in the fourth quarter of 2024.</w:t>
      </w:r>
    </w:p>
    <w:p>
      <w:pPr>
        <w:spacing w:after="0" w:line="160"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Company had served 3,146 business partners in 64 countries and regions. The Company had 206 patents with 181 approved and 25 pending approval, while the pool of SIM cards was from 398 MNOs globally as of December 31, 2025.</w:t>
      </w:r>
    </w:p>
    <w:p>
      <w:pPr>
        <w:spacing w:after="0" w:line="37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Full Year 2025 Operational Highlights</w:t>
      </w:r>
    </w:p>
    <w:p>
      <w:pPr>
        <w:spacing w:after="0" w:line="229" w:lineRule="exact"/>
        <w:rPr>
          <w:sz w:val="20"/>
          <w:szCs w:val="20"/>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data consumed through the Company’s platform was 184,175 terabytes (28,747 terabytes procured by the Company and 155,428 terabytes procured by our business partners), representing an increase of 6.5% from 172,912 terabytes in 2024.</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proportion of daily active terminals, 56.3% were from uCloudlink 1.0 international data connectivity services and 43.7% of daily active terminals were from uCloudlink 2.0 local data connectivity services.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average daily active terminals were 322,169 (18,449 owned by the Company and 303,720 owned by our business partners), representing an increase of 1.7% from 316,688 in 2024.</w:t>
      </w:r>
    </w:p>
    <w:p>
      <w:pPr>
        <w:spacing w:after="0" w:line="15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Average DAT in 2025 from </w:t>
      </w:r>
      <w:r>
        <w:rPr>
          <w:rFonts w:ascii="Times New Roman" w:cs="Times New Roman" w:eastAsia="Times New Roman" w:hAnsi="Times New Roman"/>
          <w:sz w:val="18"/>
          <w:szCs w:val="18"/>
          <w:i w:val="1"/>
          <w:iCs w:val="1"/>
          <w:color w:val="auto"/>
        </w:rPr>
        <w:t>GlocalMe</w:t>
      </w:r>
      <w:r>
        <w:rPr>
          <w:rFonts w:ascii="Times New Roman" w:cs="Times New Roman" w:eastAsia="Times New Roman" w:hAnsi="Times New Roman"/>
          <w:sz w:val="18"/>
          <w:szCs w:val="18"/>
          <w:color w:val="auto"/>
        </w:rPr>
        <w:t xml:space="preserve"> IoT business was 13,281, representing an increase of 663.3% from 1,740 in 2024.</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Average DAT in 2025 from </w:t>
      </w:r>
      <w:r>
        <w:rPr>
          <w:rFonts w:ascii="Times New Roman" w:cs="Times New Roman" w:eastAsia="Times New Roman" w:hAnsi="Times New Roman"/>
          <w:sz w:val="18"/>
          <w:szCs w:val="18"/>
          <w:i w:val="1"/>
          <w:iCs w:val="1"/>
          <w:color w:val="auto"/>
        </w:rPr>
        <w:t>GlocalMe</w:t>
      </w:r>
      <w:r>
        <w:rPr>
          <w:rFonts w:ascii="Times New Roman" w:cs="Times New Roman" w:eastAsia="Times New Roman" w:hAnsi="Times New Roman"/>
          <w:sz w:val="18"/>
          <w:szCs w:val="18"/>
          <w:color w:val="auto"/>
        </w:rPr>
        <w:t xml:space="preserve"> SIM business was 8,068, representing an increase of 240.9% from 2,367 in 2024.</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Average DAT in 2025 from </w:t>
      </w:r>
      <w:r>
        <w:rPr>
          <w:rFonts w:ascii="Times New Roman" w:cs="Times New Roman" w:eastAsia="Times New Roman" w:hAnsi="Times New Roman"/>
          <w:sz w:val="18"/>
          <w:szCs w:val="18"/>
          <w:i w:val="1"/>
          <w:iCs w:val="1"/>
          <w:color w:val="auto"/>
        </w:rPr>
        <w:t>GlocalMe</w:t>
      </w:r>
      <w:r>
        <w:rPr>
          <w:rFonts w:ascii="Times New Roman" w:cs="Times New Roman" w:eastAsia="Times New Roman" w:hAnsi="Times New Roman"/>
          <w:sz w:val="18"/>
          <w:szCs w:val="18"/>
          <w:color w:val="auto"/>
        </w:rPr>
        <w:t xml:space="preserve"> Life business was 1,510, representing an increase of 496.8% from 253 in 2024.</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Average DAT in 2025 from </w:t>
      </w:r>
      <w:r>
        <w:rPr>
          <w:rFonts w:ascii="Times New Roman" w:cs="Times New Roman" w:eastAsia="Times New Roman" w:hAnsi="Times New Roman"/>
          <w:sz w:val="18"/>
          <w:szCs w:val="18"/>
          <w:i w:val="1"/>
          <w:iCs w:val="1"/>
          <w:color w:val="auto"/>
        </w:rPr>
        <w:t>PetPhone</w:t>
      </w:r>
      <w:r>
        <w:rPr>
          <w:rFonts w:ascii="Times New Roman" w:cs="Times New Roman" w:eastAsia="Times New Roman" w:hAnsi="Times New Roman"/>
          <w:sz w:val="18"/>
          <w:szCs w:val="18"/>
          <w:color w:val="auto"/>
        </w:rPr>
        <w:t xml:space="preserve"> business was 108, as compared with nil in 2024.</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Average DAT in 2025 from </w:t>
      </w:r>
      <w:r>
        <w:rPr>
          <w:rFonts w:ascii="Times New Roman" w:cs="Times New Roman" w:eastAsia="Times New Roman" w:hAnsi="Times New Roman"/>
          <w:sz w:val="18"/>
          <w:szCs w:val="18"/>
          <w:i w:val="1"/>
          <w:iCs w:val="1"/>
          <w:color w:val="auto"/>
        </w:rPr>
        <w:t>GlocalMe MeowGo</w:t>
      </w:r>
      <w:r>
        <w:rPr>
          <w:rFonts w:ascii="Times New Roman" w:cs="Times New Roman" w:eastAsia="Times New Roman" w:hAnsi="Times New Roman"/>
          <w:sz w:val="18"/>
          <w:szCs w:val="18"/>
          <w:color w:val="auto"/>
        </w:rPr>
        <w:t xml:space="preserve"> business was 299,202, representing a decrease of 4.2% from 312,328 in 2024.</w:t>
      </w:r>
    </w:p>
    <w:p>
      <w:pPr>
        <w:spacing w:after="0" w:line="2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active terminals (“MAT”) in 2025 were 681,672, representing an increase of 8.0% from 631,137 in 2024.</w:t>
      </w:r>
    </w:p>
    <w:p>
      <w:pPr>
        <w:spacing w:after="0" w:line="22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Average MAT in 2025 from </w:t>
      </w:r>
      <w:r>
        <w:rPr>
          <w:rFonts w:ascii="Times New Roman" w:cs="Times New Roman" w:eastAsia="Times New Roman" w:hAnsi="Times New Roman"/>
          <w:sz w:val="18"/>
          <w:szCs w:val="18"/>
          <w:i w:val="1"/>
          <w:iCs w:val="1"/>
          <w:color w:val="auto"/>
        </w:rPr>
        <w:t>GlocalMe</w:t>
      </w:r>
      <w:r>
        <w:rPr>
          <w:rFonts w:ascii="Times New Roman" w:cs="Times New Roman" w:eastAsia="Times New Roman" w:hAnsi="Times New Roman"/>
          <w:sz w:val="18"/>
          <w:szCs w:val="18"/>
          <w:color w:val="auto"/>
        </w:rPr>
        <w:t xml:space="preserve"> IoT business was 36,680, representing an increase of 360.7% from 7,962 in 2024.</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Average MAT in 2025 from </w:t>
      </w:r>
      <w:r>
        <w:rPr>
          <w:rFonts w:ascii="Times New Roman" w:cs="Times New Roman" w:eastAsia="Times New Roman" w:hAnsi="Times New Roman"/>
          <w:sz w:val="18"/>
          <w:szCs w:val="18"/>
          <w:i w:val="1"/>
          <w:iCs w:val="1"/>
          <w:color w:val="auto"/>
        </w:rPr>
        <w:t>GlocalMe</w:t>
      </w:r>
      <w:r>
        <w:rPr>
          <w:rFonts w:ascii="Times New Roman" w:cs="Times New Roman" w:eastAsia="Times New Roman" w:hAnsi="Times New Roman"/>
          <w:sz w:val="18"/>
          <w:szCs w:val="18"/>
          <w:color w:val="auto"/>
        </w:rPr>
        <w:t xml:space="preserve"> SIM business was 53,681, representing an increase of 190.8% from 18,462 in 2024.</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Average MAT in 2025 from </w:t>
      </w:r>
      <w:r>
        <w:rPr>
          <w:rFonts w:ascii="Times New Roman" w:cs="Times New Roman" w:eastAsia="Times New Roman" w:hAnsi="Times New Roman"/>
          <w:sz w:val="18"/>
          <w:szCs w:val="18"/>
          <w:i w:val="1"/>
          <w:iCs w:val="1"/>
          <w:color w:val="auto"/>
        </w:rPr>
        <w:t>GlocalMe</w:t>
      </w:r>
      <w:r>
        <w:rPr>
          <w:rFonts w:ascii="Times New Roman" w:cs="Times New Roman" w:eastAsia="Times New Roman" w:hAnsi="Times New Roman"/>
          <w:sz w:val="18"/>
          <w:szCs w:val="18"/>
          <w:color w:val="auto"/>
        </w:rPr>
        <w:t xml:space="preserve"> Life business was 3,753, representing an increase of 356.0% from 823 in 2024.</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Average MAT in 2025 from </w:t>
      </w:r>
      <w:r>
        <w:rPr>
          <w:rFonts w:ascii="Times New Roman" w:cs="Times New Roman" w:eastAsia="Times New Roman" w:hAnsi="Times New Roman"/>
          <w:sz w:val="18"/>
          <w:szCs w:val="18"/>
          <w:i w:val="1"/>
          <w:iCs w:val="1"/>
          <w:color w:val="auto"/>
        </w:rPr>
        <w:t>PetPhone</w:t>
      </w:r>
      <w:r>
        <w:rPr>
          <w:rFonts w:ascii="Times New Roman" w:cs="Times New Roman" w:eastAsia="Times New Roman" w:hAnsi="Times New Roman"/>
          <w:sz w:val="18"/>
          <w:szCs w:val="18"/>
          <w:color w:val="auto"/>
        </w:rPr>
        <w:t xml:space="preserve"> business was 265, as compared with nil in 2024.</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Average MAT in 2025 from </w:t>
      </w:r>
      <w:r>
        <w:rPr>
          <w:rFonts w:ascii="Times New Roman" w:cs="Times New Roman" w:eastAsia="Times New Roman" w:hAnsi="Times New Roman"/>
          <w:sz w:val="18"/>
          <w:szCs w:val="18"/>
          <w:i w:val="1"/>
          <w:iCs w:val="1"/>
          <w:color w:val="auto"/>
        </w:rPr>
        <w:t>GlocalMe MeowGo</w:t>
      </w:r>
      <w:r>
        <w:rPr>
          <w:rFonts w:ascii="Times New Roman" w:cs="Times New Roman" w:eastAsia="Times New Roman" w:hAnsi="Times New Roman"/>
          <w:sz w:val="18"/>
          <w:szCs w:val="18"/>
          <w:color w:val="auto"/>
        </w:rPr>
        <w:t xml:space="preserve"> business was 587,293, representing a decrease of 2.7% from 603,890 in 2024.</w:t>
      </w:r>
    </w:p>
    <w:p>
      <w:pPr>
        <w:spacing w:after="0" w:line="2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DAU in 2025 were 340,036, representing an increase of 4.2% from 326,412 in 2024.</w:t>
      </w:r>
    </w:p>
    <w:p>
      <w:pPr>
        <w:spacing w:after="0" w:line="22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Average DAU in 2025 from </w:t>
      </w:r>
      <w:r>
        <w:rPr>
          <w:rFonts w:ascii="Times New Roman" w:cs="Times New Roman" w:eastAsia="Times New Roman" w:hAnsi="Times New Roman"/>
          <w:sz w:val="18"/>
          <w:szCs w:val="18"/>
          <w:i w:val="1"/>
          <w:iCs w:val="1"/>
          <w:color w:val="auto"/>
        </w:rPr>
        <w:t>GlocalMe</w:t>
      </w:r>
      <w:r>
        <w:rPr>
          <w:rFonts w:ascii="Times New Roman" w:cs="Times New Roman" w:eastAsia="Times New Roman" w:hAnsi="Times New Roman"/>
          <w:sz w:val="18"/>
          <w:szCs w:val="18"/>
          <w:color w:val="auto"/>
        </w:rPr>
        <w:t xml:space="preserve"> IoT business was 20,339, representing an increase of 737.3% from 2,429 in 2024.</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ind w:left="980" w:hanging="324"/>
        <w:spacing w:after="0"/>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Average DAU in 2025 from </w:t>
      </w:r>
      <w:r>
        <w:rPr>
          <w:rFonts w:ascii="Times New Roman" w:cs="Times New Roman" w:eastAsia="Times New Roman" w:hAnsi="Times New Roman"/>
          <w:sz w:val="18"/>
          <w:szCs w:val="18"/>
          <w:i w:val="1"/>
          <w:iCs w:val="1"/>
          <w:color w:val="auto"/>
        </w:rPr>
        <w:t>GlocalMe</w:t>
      </w:r>
      <w:r>
        <w:rPr>
          <w:rFonts w:ascii="Times New Roman" w:cs="Times New Roman" w:eastAsia="Times New Roman" w:hAnsi="Times New Roman"/>
          <w:sz w:val="18"/>
          <w:szCs w:val="18"/>
          <w:color w:val="auto"/>
        </w:rPr>
        <w:t xml:space="preserve"> SIM business was 12,329, representing an increase of 321.5% from 2,925 in 2024.</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Average DAU in 2025 from </w:t>
      </w:r>
      <w:r>
        <w:rPr>
          <w:rFonts w:ascii="Times New Roman" w:cs="Times New Roman" w:eastAsia="Times New Roman" w:hAnsi="Times New Roman"/>
          <w:sz w:val="18"/>
          <w:szCs w:val="18"/>
          <w:i w:val="1"/>
          <w:iCs w:val="1"/>
          <w:color w:val="auto"/>
        </w:rPr>
        <w:t>GlocalMe</w:t>
      </w:r>
      <w:r>
        <w:rPr>
          <w:rFonts w:ascii="Times New Roman" w:cs="Times New Roman" w:eastAsia="Times New Roman" w:hAnsi="Times New Roman"/>
          <w:sz w:val="18"/>
          <w:szCs w:val="18"/>
          <w:color w:val="auto"/>
        </w:rPr>
        <w:t xml:space="preserve"> Life business was 2,084, representing an increase of 349.1% from 464 in 2024.</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Average DAU in 2025 from </w:t>
      </w:r>
      <w:r>
        <w:rPr>
          <w:rFonts w:ascii="Times New Roman" w:cs="Times New Roman" w:eastAsia="Times New Roman" w:hAnsi="Times New Roman"/>
          <w:sz w:val="18"/>
          <w:szCs w:val="18"/>
          <w:i w:val="1"/>
          <w:iCs w:val="1"/>
          <w:color w:val="auto"/>
        </w:rPr>
        <w:t>PetPhone</w:t>
      </w:r>
      <w:r>
        <w:rPr>
          <w:rFonts w:ascii="Times New Roman" w:cs="Times New Roman" w:eastAsia="Times New Roman" w:hAnsi="Times New Roman"/>
          <w:sz w:val="18"/>
          <w:szCs w:val="18"/>
          <w:color w:val="auto"/>
        </w:rPr>
        <w:t xml:space="preserve"> business was 337, as compared with nil in 2024.</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Average DAU in 2025 from </w:t>
      </w:r>
      <w:r>
        <w:rPr>
          <w:rFonts w:ascii="Times New Roman" w:cs="Times New Roman" w:eastAsia="Times New Roman" w:hAnsi="Times New Roman"/>
          <w:sz w:val="18"/>
          <w:szCs w:val="18"/>
          <w:i w:val="1"/>
          <w:iCs w:val="1"/>
          <w:color w:val="auto"/>
        </w:rPr>
        <w:t>GlocalMe MeowGo</w:t>
      </w:r>
      <w:r>
        <w:rPr>
          <w:rFonts w:ascii="Times New Roman" w:cs="Times New Roman" w:eastAsia="Times New Roman" w:hAnsi="Times New Roman"/>
          <w:sz w:val="18"/>
          <w:szCs w:val="18"/>
          <w:color w:val="auto"/>
        </w:rPr>
        <w:t xml:space="preserve"> business was 304,947, representing a decrease of 4.9% from 320,594 in 2024.</w:t>
      </w:r>
    </w:p>
    <w:p>
      <w:pPr>
        <w:spacing w:after="0" w:line="2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MAU in 2025 were 723,706, representing an increase of 8.9% from 664,815 in 2024.</w:t>
      </w:r>
    </w:p>
    <w:p>
      <w:pPr>
        <w:spacing w:after="0" w:line="22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Average MAU in 2025 from </w:t>
      </w:r>
      <w:r>
        <w:rPr>
          <w:rFonts w:ascii="Times New Roman" w:cs="Times New Roman" w:eastAsia="Times New Roman" w:hAnsi="Times New Roman"/>
          <w:sz w:val="18"/>
          <w:szCs w:val="18"/>
          <w:i w:val="1"/>
          <w:iCs w:val="1"/>
          <w:color w:val="auto"/>
        </w:rPr>
        <w:t>GlocalMe</w:t>
      </w:r>
      <w:r>
        <w:rPr>
          <w:rFonts w:ascii="Times New Roman" w:cs="Times New Roman" w:eastAsia="Times New Roman" w:hAnsi="Times New Roman"/>
          <w:sz w:val="18"/>
          <w:szCs w:val="18"/>
          <w:color w:val="auto"/>
        </w:rPr>
        <w:t xml:space="preserve"> IoT business was 35,907, representing an increase of 251.2% from 10,223 in 2024.</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Average MAU in 2025 from </w:t>
      </w:r>
      <w:r>
        <w:rPr>
          <w:rFonts w:ascii="Times New Roman" w:cs="Times New Roman" w:eastAsia="Times New Roman" w:hAnsi="Times New Roman"/>
          <w:sz w:val="18"/>
          <w:szCs w:val="18"/>
          <w:i w:val="1"/>
          <w:iCs w:val="1"/>
          <w:color w:val="auto"/>
        </w:rPr>
        <w:t>GlocalMe</w:t>
      </w:r>
      <w:r>
        <w:rPr>
          <w:rFonts w:ascii="Times New Roman" w:cs="Times New Roman" w:eastAsia="Times New Roman" w:hAnsi="Times New Roman"/>
          <w:sz w:val="18"/>
          <w:szCs w:val="18"/>
          <w:color w:val="auto"/>
        </w:rPr>
        <w:t xml:space="preserve"> SIM business was 61,669, representing an increase of 167.5% from 23,052 in 2024.</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Average MAU in 2025 from </w:t>
      </w:r>
      <w:r>
        <w:rPr>
          <w:rFonts w:ascii="Times New Roman" w:cs="Times New Roman" w:eastAsia="Times New Roman" w:hAnsi="Times New Roman"/>
          <w:sz w:val="18"/>
          <w:szCs w:val="18"/>
          <w:i w:val="1"/>
          <w:iCs w:val="1"/>
          <w:color w:val="auto"/>
        </w:rPr>
        <w:t>GlocalMe</w:t>
      </w:r>
      <w:r>
        <w:rPr>
          <w:rFonts w:ascii="Times New Roman" w:cs="Times New Roman" w:eastAsia="Times New Roman" w:hAnsi="Times New Roman"/>
          <w:sz w:val="18"/>
          <w:szCs w:val="18"/>
          <w:color w:val="auto"/>
        </w:rPr>
        <w:t xml:space="preserve"> Life business was 4,612, representing an increase of 413.0% from 899 in 2024.</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Average MAU in 2025 from </w:t>
      </w:r>
      <w:r>
        <w:rPr>
          <w:rFonts w:ascii="Times New Roman" w:cs="Times New Roman" w:eastAsia="Times New Roman" w:hAnsi="Times New Roman"/>
          <w:sz w:val="18"/>
          <w:szCs w:val="18"/>
          <w:i w:val="1"/>
          <w:iCs w:val="1"/>
          <w:color w:val="auto"/>
        </w:rPr>
        <w:t>PetPhone</w:t>
      </w:r>
      <w:r>
        <w:rPr>
          <w:rFonts w:ascii="Times New Roman" w:cs="Times New Roman" w:eastAsia="Times New Roman" w:hAnsi="Times New Roman"/>
          <w:sz w:val="18"/>
          <w:szCs w:val="18"/>
          <w:color w:val="auto"/>
        </w:rPr>
        <w:t xml:space="preserve"> business was 459, as compared with nil in 2024.</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Average MAU in 2025 from </w:t>
      </w:r>
      <w:r>
        <w:rPr>
          <w:rFonts w:ascii="Times New Roman" w:cs="Times New Roman" w:eastAsia="Times New Roman" w:hAnsi="Times New Roman"/>
          <w:sz w:val="18"/>
          <w:szCs w:val="18"/>
          <w:i w:val="1"/>
          <w:iCs w:val="1"/>
          <w:color w:val="auto"/>
        </w:rPr>
        <w:t>GlocalMe MeowGo</w:t>
      </w:r>
      <w:r>
        <w:rPr>
          <w:rFonts w:ascii="Times New Roman" w:cs="Times New Roman" w:eastAsia="Times New Roman" w:hAnsi="Times New Roman"/>
          <w:sz w:val="18"/>
          <w:szCs w:val="18"/>
          <w:color w:val="auto"/>
        </w:rPr>
        <w:t xml:space="preserve"> business was 621,059, representing a decrease of 1.5% from 630,641 in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Commentary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Chaohui Chen, Director and Chief Executive Officer of UCLOUDLINK, commented, “We finished 2025 with strong financial and operational momentum, highlighted by net income for the year increasing 38.2% year-over-year to US$6.3 million and net cash inflow from operations of US$3.2 million. Total revenues from mainland China surged 16.5% from last year, underscoring how our uCloudlink 1.0 international data connectivity solutions are accelerating broader consumer adoption and further solidifying our leadership in the global roaming market. This robust performance demonstrates the resilience of our core strategy and the strategic impact of the investments we made in our three new growth engines. The launch of these new products has diversified our business and allowed us to successfully navigate a persistently challenging macroeconomic and trade environment. Through strict operational discipline and focus, we have laid a solid foundation to build up and accelerate growth in 2026.”</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 w:name="page9"/>
    <w:bookmarkEnd w:id="8"/>
    <w:p>
      <w:pPr>
        <w:jc w:val="both"/>
        <w:spacing w:after="0" w:line="253" w:lineRule="auto"/>
        <w:rPr>
          <w:sz w:val="20"/>
          <w:szCs w:val="20"/>
          <w:color w:val="auto"/>
        </w:rPr>
      </w:pPr>
      <w:r>
        <w:rPr>
          <w:rFonts w:ascii="Times New Roman" w:cs="Times New Roman" w:eastAsia="Times New Roman" w:hAnsi="Times New Roman"/>
          <w:sz w:val="18"/>
          <w:szCs w:val="18"/>
          <w:color w:val="auto"/>
        </w:rPr>
        <w:t>“Our three new growth engines—</w:t>
      </w:r>
      <w:r>
        <w:rPr>
          <w:rFonts w:ascii="Times New Roman" w:cs="Times New Roman" w:eastAsia="Times New Roman" w:hAnsi="Times New Roman"/>
          <w:sz w:val="18"/>
          <w:szCs w:val="18"/>
          <w:i w:val="1"/>
          <w:iCs w:val="1"/>
          <w:color w:val="auto"/>
        </w:rPr>
        <w:t>GlocalMe</w:t>
      </w:r>
      <w:r>
        <w:rPr>
          <w:rFonts w:ascii="Times New Roman" w:cs="Times New Roman" w:eastAsia="Times New Roman" w:hAnsi="Times New Roman"/>
          <w:sz w:val="18"/>
          <w:szCs w:val="18"/>
          <w:color w:val="auto"/>
        </w:rPr>
        <w:t xml:space="preserve"> Life, </w:t>
      </w:r>
      <w:r>
        <w:rPr>
          <w:rFonts w:ascii="Times New Roman" w:cs="Times New Roman" w:eastAsia="Times New Roman" w:hAnsi="Times New Roman"/>
          <w:sz w:val="18"/>
          <w:szCs w:val="18"/>
          <w:i w:val="1"/>
          <w:iCs w:val="1"/>
          <w:color w:val="auto"/>
        </w:rPr>
        <w:t>GlocalMe</w:t>
      </w:r>
      <w:r>
        <w:rPr>
          <w:rFonts w:ascii="Times New Roman" w:cs="Times New Roman" w:eastAsia="Times New Roman" w:hAnsi="Times New Roman"/>
          <w:sz w:val="18"/>
          <w:szCs w:val="18"/>
          <w:color w:val="auto"/>
        </w:rPr>
        <w:t xml:space="preserve"> SIM, and </w:t>
      </w:r>
      <w:r>
        <w:rPr>
          <w:rFonts w:ascii="Times New Roman" w:cs="Times New Roman" w:eastAsia="Times New Roman" w:hAnsi="Times New Roman"/>
          <w:sz w:val="18"/>
          <w:szCs w:val="18"/>
          <w:i w:val="1"/>
          <w:iCs w:val="1"/>
          <w:color w:val="auto"/>
        </w:rPr>
        <w:t>GlocalMe</w:t>
      </w:r>
      <w:r>
        <w:rPr>
          <w:rFonts w:ascii="Times New Roman" w:cs="Times New Roman" w:eastAsia="Times New Roman" w:hAnsi="Times New Roman"/>
          <w:sz w:val="18"/>
          <w:szCs w:val="18"/>
          <w:color w:val="auto"/>
        </w:rPr>
        <w:t xml:space="preserve"> IoT – continued to hit critical commercial milestones and make solid progress during the quarter. We kicked off 2026 with a powerful showcase at CES in Las Vegas, where we highlighted the latest </w:t>
      </w:r>
      <w:r>
        <w:rPr>
          <w:rFonts w:ascii="Times New Roman" w:cs="Times New Roman" w:eastAsia="Times New Roman" w:hAnsi="Times New Roman"/>
          <w:sz w:val="18"/>
          <w:szCs w:val="18"/>
          <w:i w:val="1"/>
          <w:iCs w:val="1"/>
          <w:color w:val="auto"/>
        </w:rPr>
        <w:t>GlocalMe</w:t>
      </w:r>
      <w:r>
        <w:rPr>
          <w:rFonts w:ascii="Times New Roman" w:cs="Times New Roman" w:eastAsia="Times New Roman" w:hAnsi="Times New Roman"/>
          <w:sz w:val="18"/>
          <w:szCs w:val="18"/>
          <w:color w:val="auto"/>
        </w:rPr>
        <w:t xml:space="preserve"> Life innovations. There, we outlined our vision to eliminate the ‘Pet People Divide’ through the </w:t>
      </w:r>
      <w:r>
        <w:rPr>
          <w:rFonts w:ascii="Times New Roman" w:cs="Times New Roman" w:eastAsia="Times New Roman" w:hAnsi="Times New Roman"/>
          <w:sz w:val="18"/>
          <w:szCs w:val="18"/>
          <w:i w:val="1"/>
          <w:iCs w:val="1"/>
          <w:color w:val="auto"/>
        </w:rPr>
        <w:t>PetPogo</w:t>
      </w:r>
      <w:r>
        <w:rPr>
          <w:rFonts w:ascii="Times New Roman" w:cs="Times New Roman" w:eastAsia="Times New Roman" w:hAnsi="Times New Roman"/>
          <w:sz w:val="18"/>
          <w:szCs w:val="18"/>
          <w:color w:val="auto"/>
        </w:rPr>
        <w:t xml:space="preserve"> ecosystem, introducing the all-new </w:t>
      </w:r>
      <w:r>
        <w:rPr>
          <w:rFonts w:ascii="Times New Roman" w:cs="Times New Roman" w:eastAsia="Times New Roman" w:hAnsi="Times New Roman"/>
          <w:sz w:val="18"/>
          <w:szCs w:val="18"/>
          <w:i w:val="1"/>
          <w:iCs w:val="1"/>
          <w:color w:val="auto"/>
        </w:rPr>
        <w:t>PetCam</w:t>
      </w:r>
      <w:r>
        <w:rPr>
          <w:rFonts w:ascii="Times New Roman" w:cs="Times New Roman" w:eastAsia="Times New Roman" w:hAnsi="Times New Roman"/>
          <w:sz w:val="18"/>
          <w:szCs w:val="18"/>
          <w:color w:val="auto"/>
        </w:rPr>
        <w:t xml:space="preserve"> that complements the </w:t>
      </w:r>
      <w:r>
        <w:rPr>
          <w:rFonts w:ascii="Times New Roman" w:cs="Times New Roman" w:eastAsia="Times New Roman" w:hAnsi="Times New Roman"/>
          <w:sz w:val="18"/>
          <w:szCs w:val="18"/>
          <w:i w:val="1"/>
          <w:iCs w:val="1"/>
          <w:color w:val="auto"/>
        </w:rPr>
        <w:t>PetPhone</w:t>
      </w:r>
      <w:r>
        <w:rPr>
          <w:rFonts w:ascii="Times New Roman" w:cs="Times New Roman" w:eastAsia="Times New Roman" w:hAnsi="Times New Roman"/>
          <w:sz w:val="18"/>
          <w:szCs w:val="18"/>
          <w:color w:val="auto"/>
        </w:rPr>
        <w:t xml:space="preserve">. This ecosystem transcends basic pet tracking functions by establishing a comprehensive ‘Safety-Wellness-Emotional Connection’ loop that enables owners to see, hear, and interact with their pets seamlessly from anywhere in the world. The response has been exceptional, generating significant global attention and validating our product roadmap. </w:t>
      </w:r>
      <w:r>
        <w:rPr>
          <w:rFonts w:ascii="Times New Roman" w:cs="Times New Roman" w:eastAsia="Times New Roman" w:hAnsi="Times New Roman"/>
          <w:sz w:val="18"/>
          <w:szCs w:val="18"/>
          <w:i w:val="1"/>
          <w:iCs w:val="1"/>
          <w:color w:val="auto"/>
        </w:rPr>
        <w:t>PetPhone</w:t>
      </w:r>
      <w:r>
        <w:rPr>
          <w:rFonts w:ascii="Times New Roman" w:cs="Times New Roman" w:eastAsia="Times New Roman" w:hAnsi="Times New Roman"/>
          <w:sz w:val="18"/>
          <w:szCs w:val="18"/>
          <w:color w:val="auto"/>
        </w:rPr>
        <w:t xml:space="preserve"> orders continue to scale since its initial launch last quarter and are accelerating, reflecting strong market confidence. Under </w:t>
      </w:r>
      <w:r>
        <w:rPr>
          <w:rFonts w:ascii="Times New Roman" w:cs="Times New Roman" w:eastAsia="Times New Roman" w:hAnsi="Times New Roman"/>
          <w:sz w:val="18"/>
          <w:szCs w:val="18"/>
          <w:i w:val="1"/>
          <w:iCs w:val="1"/>
          <w:color w:val="auto"/>
        </w:rPr>
        <w:t>GlocalMe</w:t>
      </w:r>
      <w:r>
        <w:rPr>
          <w:rFonts w:ascii="Times New Roman" w:cs="Times New Roman" w:eastAsia="Times New Roman" w:hAnsi="Times New Roman"/>
          <w:sz w:val="18"/>
          <w:szCs w:val="18"/>
          <w:color w:val="auto"/>
        </w:rPr>
        <w:t xml:space="preserve"> SIM, our </w:t>
      </w:r>
      <w:r>
        <w:rPr>
          <w:rFonts w:ascii="Times New Roman" w:cs="Times New Roman" w:eastAsia="Times New Roman" w:hAnsi="Times New Roman"/>
          <w:sz w:val="18"/>
          <w:szCs w:val="18"/>
          <w:i w:val="1"/>
          <w:iCs w:val="1"/>
          <w:color w:val="auto"/>
        </w:rPr>
        <w:t>eSIM TRIO</w:t>
      </w:r>
      <w:r>
        <w:rPr>
          <w:rFonts w:ascii="Times New Roman" w:cs="Times New Roman" w:eastAsia="Times New Roman" w:hAnsi="Times New Roman"/>
          <w:sz w:val="18"/>
          <w:szCs w:val="18"/>
          <w:color w:val="auto"/>
        </w:rPr>
        <w:t xml:space="preserve"> solution continues to gain strong traction following its pilot program last quarter, with cumulative SIM card sales now surpassing several hundred thousand units as growth momentum accelerates. More importantly, our carrier co-issuance program has started pilot deployment, providing a highly effective, low-capex solution for operators that enhances their global roaming capabilities. Also making its debut at CES was the </w:t>
      </w:r>
      <w:r>
        <w:rPr>
          <w:rFonts w:ascii="Times New Roman" w:cs="Times New Roman" w:eastAsia="Times New Roman" w:hAnsi="Times New Roman"/>
          <w:sz w:val="18"/>
          <w:szCs w:val="18"/>
          <w:i w:val="1"/>
          <w:iCs w:val="1"/>
          <w:color w:val="auto"/>
        </w:rPr>
        <w:t>MeowGo G50 Max</w:t>
      </w:r>
      <w:r>
        <w:rPr>
          <w:rFonts w:ascii="Times New Roman" w:cs="Times New Roman" w:eastAsia="Times New Roman" w:hAnsi="Times New Roman"/>
          <w:sz w:val="18"/>
          <w:szCs w:val="18"/>
          <w:color w:val="auto"/>
        </w:rPr>
        <w:t xml:space="preserve">, an AI-powered connectivity hub engineered with Sky-to-Ground 5G/satellite integration that creates mobile Wi-Fi hotspots anywhere. Finally, our </w:t>
      </w:r>
      <w:r>
        <w:rPr>
          <w:rFonts w:ascii="Times New Roman" w:cs="Times New Roman" w:eastAsia="Times New Roman" w:hAnsi="Times New Roman"/>
          <w:sz w:val="18"/>
          <w:szCs w:val="18"/>
          <w:i w:val="1"/>
          <w:iCs w:val="1"/>
          <w:color w:val="auto"/>
        </w:rPr>
        <w:t>GlocalMe</w:t>
      </w:r>
      <w:r>
        <w:rPr>
          <w:rFonts w:ascii="Times New Roman" w:cs="Times New Roman" w:eastAsia="Times New Roman" w:hAnsi="Times New Roman"/>
          <w:sz w:val="18"/>
          <w:szCs w:val="18"/>
          <w:color w:val="auto"/>
        </w:rPr>
        <w:t xml:space="preserve"> IoT business maintained its robust growth trajectory, with user adoption and revenue contribution increasing strongly on a year-over-year basis during the quarter. We have solidified the strategic positioning of this business in high-growth sectors such as in-car infotainment and security cameras which will further expand our ecosystem.”</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“Looking ahead, 2026 will be a pivotal year of execution and transformation for us. We are entering this next phase with clear momentum and a streamlined organizational structure that has been aligned with our evolving strategy. The strong market feedback from CES 2026, combined with accelerating sales of new solutions, provides us with multiple powerful growth engines. We are confident in our ability to scale our user base globally, further diversify our revenue streams, and bridge critical digital divides, from cross-border connectivity to the emotional distance between people and their pets.”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revenues were US$22.1 million, representing a decrease of 14.6% from US$26.0 million in the same period of 2024.</w:t>
      </w:r>
    </w:p>
    <w:p>
      <w:pPr>
        <w:spacing w:after="0" w:line="221" w:lineRule="exact"/>
        <w:rPr>
          <w:sz w:val="20"/>
          <w:szCs w:val="20"/>
          <w:color w:val="auto"/>
        </w:rPr>
      </w:pPr>
    </w:p>
    <w:p>
      <w:pPr>
        <w:jc w:val="both"/>
        <w:ind w:left="660" w:hanging="328"/>
        <w:spacing w:after="0" w:line="26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services </w:t>
      </w:r>
      <w:r>
        <w:rPr>
          <w:rFonts w:ascii="Times New Roman" w:cs="Times New Roman" w:eastAsia="Times New Roman" w:hAnsi="Times New Roman"/>
          <w:sz w:val="18"/>
          <w:szCs w:val="18"/>
          <w:color w:val="auto"/>
        </w:rPr>
        <w:t>were US$15.2 million, representing an increase of 1.1% from US$15.0 million in the same period of 2024. This increase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primarily attributable to an increase of US$0.6 million in other revenues from services, which encompasses items such as SIM card resale service fees and advertising revenue.</w:t>
      </w:r>
    </w:p>
    <w:p>
      <w:pPr>
        <w:spacing w:after="0" w:line="170"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data connectivity services </w:t>
      </w:r>
      <w:r>
        <w:rPr>
          <w:rFonts w:ascii="Times New Roman" w:cs="Times New Roman" w:eastAsia="Times New Roman" w:hAnsi="Times New Roman"/>
          <w:sz w:val="18"/>
          <w:szCs w:val="18"/>
          <w:color w:val="auto"/>
        </w:rPr>
        <w:t>were US$11.5 million, representing a decrease of 1.4% from US$11.7 million in the same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2024. The slight decrease was primarily due to a decrease in revenues from international data connectivity services to US$9.5 million in the fourth quarter of 2025 from US$9.6 million in the same period of 2024, and a decrease in revenues from local data connectivity services to US$2.0 million in the fourth quarter of 2025 from US$2.1 million in the same period of 2024.</w:t>
      </w:r>
    </w:p>
    <w:p>
      <w:pPr>
        <w:spacing w:after="0" w:line="176"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PaaS and SaaS services </w:t>
      </w:r>
      <w:r>
        <w:rPr>
          <w:rFonts w:ascii="Times New Roman" w:cs="Times New Roman" w:eastAsia="Times New Roman" w:hAnsi="Times New Roman"/>
          <w:sz w:val="18"/>
          <w:szCs w:val="18"/>
          <w:color w:val="auto"/>
        </w:rPr>
        <w:t>were US$2.8 million, representing a decrease of 7.5% from US$3.0 million in the same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 w:name="page10"/>
    <w:bookmarkEnd w:id="9"/>
    <w:p>
      <w:pPr>
        <w:ind w:left="660" w:right="20" w:hanging="328"/>
        <w:spacing w:after="0" w:line="28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sales of products </w:t>
      </w:r>
      <w:r>
        <w:rPr>
          <w:rFonts w:ascii="Times New Roman" w:cs="Times New Roman" w:eastAsia="Times New Roman" w:hAnsi="Times New Roman"/>
          <w:sz w:val="18"/>
          <w:szCs w:val="18"/>
          <w:color w:val="auto"/>
        </w:rPr>
        <w:t>were US$6.9 million, representing a decrease of 36.2% from US$11.0 million in the same period of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due to a decrease of US$3.3 million in revenues from sales of data related products.</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Geographic Distribution</w:t>
      </w:r>
    </w:p>
    <w:p>
      <w:pPr>
        <w:spacing w:after="0" w:line="229"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of 2025, as a percentage of our total revenues, Japan contributed 43.6%, Mainland China contributed 26.8%, North America contributed 11.2%, and other countries and regions contributed the remaining 18.4%, compared to 53.6%, 20.0%, 12.1% and 14.3%, respectively, in the same period of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Cost of revenues was US$10.7 million, representing a decrease of 27.4% from US$14.8 million in the same period of 2024. This decrease was in line with the decrease in revenues from sales of products during the fourth quarter of 2025.</w:t>
      </w:r>
    </w:p>
    <w:p>
      <w:pPr>
        <w:spacing w:after="0" w:line="158"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of services </w:t>
      </w:r>
      <w:r>
        <w:rPr>
          <w:rFonts w:ascii="Times New Roman" w:cs="Times New Roman" w:eastAsia="Times New Roman" w:hAnsi="Times New Roman"/>
          <w:sz w:val="18"/>
          <w:szCs w:val="18"/>
          <w:color w:val="auto"/>
        </w:rPr>
        <w:t>was US$5.8 million, representing a decrease of 6.4% from US$6.2 million in the same period of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of products sold </w:t>
      </w:r>
      <w:r>
        <w:rPr>
          <w:rFonts w:ascii="Times New Roman" w:cs="Times New Roman" w:eastAsia="Times New Roman" w:hAnsi="Times New Roman"/>
          <w:sz w:val="18"/>
          <w:szCs w:val="18"/>
          <w:color w:val="auto"/>
        </w:rPr>
        <w:t>was US$4.9 million, representing a decrease of 42.6% from US$8.6 million in the same period of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Overall gross profit was US$11.4 million, compared to US$11.2 million in the same period of 2024. Overall gross margin was 51.6% in the fourth quarter of 2025, compared to 43.0% in the same period of 2024.</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Gross profit on services was US$9.4 million, compared to US$8.8 million in the same period of 2024. Gross margin on services was 61.7% in the fourth quarter of 2025, compared to 58.6% in the same period of 2024.</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Gross profit on sales of products was US$2.0 million, compared to US$2.4 million in the same period of 2024. Gross margin on sales of products was 29.6% in the fourth quarter of 2025, compared to 21.7% in the same period of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expenses were US$9.5 million, compared to US$14.1 million in the same period of 2024.</w:t>
      </w:r>
    </w:p>
    <w:p>
      <w:pPr>
        <w:spacing w:after="0" w:line="221" w:lineRule="exact"/>
        <w:rPr>
          <w:sz w:val="20"/>
          <w:szCs w:val="20"/>
          <w:color w:val="auto"/>
        </w:rPr>
      </w:pPr>
    </w:p>
    <w:p>
      <w:pPr>
        <w:ind w:left="660" w:hanging="328"/>
        <w:spacing w:after="0" w:line="28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were US$0.4 million, representing a decrease of 76.3% from US$1.8 million in the same period of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decrease was primarily due to a decrease of US$1.2 million in staff costs.</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Sales and marketing expenses </w:t>
      </w:r>
      <w:r>
        <w:rPr>
          <w:rFonts w:ascii="Times New Roman" w:cs="Times New Roman" w:eastAsia="Times New Roman" w:hAnsi="Times New Roman"/>
          <w:sz w:val="18"/>
          <w:szCs w:val="18"/>
          <w:color w:val="auto"/>
        </w:rPr>
        <w:t>were US$6.1 million, representing a decrease of 2.1% from US$6.2 million in the same period of 2024.</w:t>
      </w:r>
    </w:p>
    <w:p>
      <w:pPr>
        <w:spacing w:after="0" w:line="22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were US$3.0 million, representing a decrease of 49.9% from US$6.1 million in the same period of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decrease was primarily due to decreases of US$1.8 million in staff costs and US$1.2 million in professional service fees.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from operations was US$1.6 million, compared to US$1.7 million in the same period of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(Non-GAAP)</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(Non-GAAP), which excludes the impact of share-based compensation, fair value gain/loss in other investment, share of profit/loss in equity method investment, net of tax, interest expense, income tax expenses and depreciation and amortization, was US$3.1 million, compared to negative US$2.3 million in the same period of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Expense/Income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interest expense was US$0.04 million, compared to a net interest income of US$0.1 million in the same period of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was US$3.1 million, compared to US$1.5 million in the same period of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Income/Loss (Non-GAAP)</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Adjusted net income, which excludes the impact of share-based compensation, fair value gain/loss in other investment and share of profit/loss in equity method investment, net of tax, was US$1.0 million, compared to adjusted net loss of US$3.1 million in the same period of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Loss per ADS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and diluted loss per ADS attributable to ordinary shareholders were US$0.08 in the fourth quarter of 2025, compared to US$0.04 in the same period of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cash and cash equivalents of US$32.8 million, compared to US$28.5 million as of September 30, 2025. The increase was primarily attributable to proceeds of US$5.1 million from bank borrowings and net inflow of US$4.7 million from operations, which was partially offset by repayments of US$5.7 million in bank borrowings.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 (“CAPEX”)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expenditures were US$0.02 million, compared to US$0.6 million in the same period of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Full Year 2025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revenues were US$81.4 million, representing a decrease of 11.1% from US$91.6 million in 2024.</w:t>
      </w:r>
    </w:p>
    <w:p>
      <w:pPr>
        <w:spacing w:after="0" w:line="221" w:lineRule="exact"/>
        <w:rPr>
          <w:sz w:val="20"/>
          <w:szCs w:val="20"/>
          <w:color w:val="auto"/>
        </w:rPr>
      </w:pPr>
    </w:p>
    <w:p>
      <w:pPr>
        <w:jc w:val="both"/>
        <w:ind w:left="660" w:hanging="328"/>
        <w:spacing w:after="0" w:line="268"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services </w:t>
      </w:r>
      <w:r>
        <w:rPr>
          <w:rFonts w:ascii="Times New Roman" w:cs="Times New Roman" w:eastAsia="Times New Roman" w:hAnsi="Times New Roman"/>
          <w:sz w:val="18"/>
          <w:szCs w:val="18"/>
          <w:color w:val="auto"/>
        </w:rPr>
        <w:t>were US$61.0 million, representing an increase of 1.8% from US$60.0 million in 2024. This increase was primarily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attributable to an increase of US$1.1 million in other revenues from services, which encompasses items such as SIM card resale service fees and advertising revenue.</w:t>
      </w:r>
    </w:p>
    <w:p>
      <w:pPr>
        <w:spacing w:after="0" w:line="170"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data connectivity services </w:t>
      </w:r>
      <w:r>
        <w:rPr>
          <w:rFonts w:ascii="Times New Roman" w:cs="Times New Roman" w:eastAsia="Times New Roman" w:hAnsi="Times New Roman"/>
          <w:sz w:val="18"/>
          <w:szCs w:val="18"/>
          <w:color w:val="auto"/>
        </w:rPr>
        <w:t>were US$47.8 million, representing an increase of 0.4% from US$47.6 million in 2024.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was primarily attributable to an increase in revenues from international data connectivity services to US$41.1 million in 2025 from US$39.5 million in 2024, as the recovery of international travel continues, which was partially offset by a decrease in revenues from local data connectivity services to US$6.7 million in 2025 from US$8.1 million in 2024, due to business adjustments made by certain customers.</w:t>
      </w:r>
    </w:p>
    <w:p>
      <w:pPr>
        <w:spacing w:after="0" w:line="17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PaaS and SaaS services </w:t>
      </w:r>
      <w:r>
        <w:rPr>
          <w:rFonts w:ascii="Times New Roman" w:cs="Times New Roman" w:eastAsia="Times New Roman" w:hAnsi="Times New Roman"/>
          <w:sz w:val="18"/>
          <w:szCs w:val="18"/>
          <w:color w:val="auto"/>
        </w:rPr>
        <w:t>were US$11.1 million, representing a decrease of 1.6% from US$11.3 million in 2024.</w:t>
      </w:r>
    </w:p>
    <w:p>
      <w:pPr>
        <w:spacing w:after="0" w:line="22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sales of products </w:t>
      </w:r>
      <w:r>
        <w:rPr>
          <w:rFonts w:ascii="Times New Roman" w:cs="Times New Roman" w:eastAsia="Times New Roman" w:hAnsi="Times New Roman"/>
          <w:sz w:val="18"/>
          <w:szCs w:val="18"/>
          <w:color w:val="auto"/>
        </w:rPr>
        <w:t>were US$20.4 million, representing a decrease of 35.5% from US$31.6 million in 2024, primarily due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decreases of US$8.3 million in sales of data related products and US$2.7 million in sales of terminals.</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Geographic Distribution</w:t>
      </w:r>
    </w:p>
    <w:p>
      <w:pPr>
        <w:spacing w:after="0" w:line="229"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2025, as a percentage of our total revenues, Japan contributed 37.8%, Mainland China contributed 31.5%, North America contributed 13.6%, and other countries and regions contributed the remaining 17.1%, compared to 47.4%, 24.0%, 13.8% and 14.8%, respectively, in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Cost of revenues was US$38.7 million, representing a decrease of 18.0% from US$47.2 million in 2024. This decrease was due to a decrease in cost of products sold, which was partially offset by an increase in cost of services.</w:t>
      </w:r>
    </w:p>
    <w:p>
      <w:pPr>
        <w:spacing w:after="0" w:line="158"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of services </w:t>
      </w:r>
      <w:r>
        <w:rPr>
          <w:rFonts w:ascii="Times New Roman" w:cs="Times New Roman" w:eastAsia="Times New Roman" w:hAnsi="Times New Roman"/>
          <w:sz w:val="18"/>
          <w:szCs w:val="18"/>
          <w:color w:val="auto"/>
        </w:rPr>
        <w:t>was US$25.6 million, representing an increase of 9.1% from US$23.5 million in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of products sold </w:t>
      </w:r>
      <w:r>
        <w:rPr>
          <w:rFonts w:ascii="Times New Roman" w:cs="Times New Roman" w:eastAsia="Times New Roman" w:hAnsi="Times New Roman"/>
          <w:sz w:val="18"/>
          <w:szCs w:val="18"/>
          <w:color w:val="auto"/>
        </w:rPr>
        <w:t>was US$13.1 million, representing a decrease of 44.8% from US$23.7 million in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Overall gross profit was US$42.7 million, compared to US$44.4 million in 2024. Overall gross margin was 52.4% in 2025, compared to 48.4% in 2024.</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spacing w:after="0" w:line="282" w:lineRule="auto"/>
        <w:rPr>
          <w:sz w:val="20"/>
          <w:szCs w:val="20"/>
          <w:color w:val="auto"/>
        </w:rPr>
      </w:pPr>
      <w:r>
        <w:rPr>
          <w:rFonts w:ascii="Times New Roman" w:cs="Times New Roman" w:eastAsia="Times New Roman" w:hAnsi="Times New Roman"/>
          <w:sz w:val="18"/>
          <w:szCs w:val="18"/>
          <w:color w:val="auto"/>
        </w:rPr>
        <w:t>Gross profit on services was US$35.4 million, compared to US$36.5 million in 2024. Gross margin on services was 58.0% in 2025, compared to 60.8% in 2024.</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Gross profit on sales of products was US$7.3 million, compared to US$7.9 million in 2024. Gross margin on sales of products was 35.6% in 2025, compared to 24.9% in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expenses were US$41.4 million, compared to US$42.0 million in 2024.</w:t>
      </w:r>
    </w:p>
    <w:p>
      <w:pPr>
        <w:spacing w:after="0" w:line="221" w:lineRule="exact"/>
        <w:rPr>
          <w:sz w:val="20"/>
          <w:szCs w:val="20"/>
          <w:color w:val="auto"/>
        </w:rPr>
      </w:pPr>
    </w:p>
    <w:p>
      <w:pPr>
        <w:ind w:left="660" w:hanging="328"/>
        <w:spacing w:after="0" w:line="28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were US$4.9 million, representing a decrease of 21.5% from US$6.2 million in 2024. This decrease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due to a decrease of US$1.3 million in staff costs.</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Sales and marketing expenses </w:t>
      </w:r>
      <w:r>
        <w:rPr>
          <w:rFonts w:ascii="Times New Roman" w:cs="Times New Roman" w:eastAsia="Times New Roman" w:hAnsi="Times New Roman"/>
          <w:sz w:val="18"/>
          <w:szCs w:val="18"/>
          <w:color w:val="auto"/>
        </w:rPr>
        <w:t>were US$24.0 million, representing an increase of 20.4% from US$19.9 million in 2024. This increase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due to increases of US$1.8 million in promotion fees, US$1.3 million in service fees, US$0.4 million in operating lease payments, and US$0.4 million in exhibition expenses.</w:t>
      </w:r>
    </w:p>
    <w:p>
      <w:pPr>
        <w:spacing w:after="0" w:line="170"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were US$12.5 million, representing a decrease of 21.1% from US$15.9 million in 2024. This decrease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due to decreases of US$2.3 million in professional service fees and US$1.3 million in staff costs.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from operations was US$8.0 million, compared to US$4.4 million in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(Non-GAAP)</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(Non-GAAP), which excludes the impact of share-based compensation, fair value gain/loss in other investment, share of profit/loss in equity method investment, net of tax, interest expense, income tax expenses and depreciation and amortization, was US$7.2 million, compared to US$7.1 million in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Expenses/Income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interest expense was US$0.1 million, compared to a net interest income of US$0.03 million in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was US$6.3 million, compared to US$4.6 million in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(Non-GAAP)</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Adjusted net income, which excludes the impact of share-based compensation, fair value gain/loss in other investment and share of profit/loss in equity method investment, net of tax, was US$2.7 million, compared to US$4.5 million in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Earnings per ADS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earnings per ADS attributable to ordinary shareholders were US$0.17 in 2025, compared to US$0.12 in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 (“CAPEX”)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expenditures were US$1.0 million, compared to US$4.0 million in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first quarter of 2026, UCLOUDLINK expects total revenues to be between US$16.0 million and US$17.0 million, representing a decrease of 9.1% to 14.4% compared to the same period of 2025. For 2026, UCLOUDLINK expects total revenues to be between US$85.0 million and US$100.0 million, representing an increase of 4.4% to 22.9% from 2025.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above outlook is based on current market conditions and reflects the Company’s preliminary estimates of market and operating conditions and customer demand.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supplement the financial measures prepared in accordance with generally accepted accounting principles in the United States, or GAAP, this press release presents, adjusted net income/(loss) and adjusted EBITDA, as supplemental measures to review and assess the Company’s operating performance. The presentation of these non-GAAP financial measures is not intended to be considered in isolation or as a substitute for the financial information prepared and presented in accordance with U.S. GAAP. Adjusted net income/(loss) is defined as net income/(loss) excluding share-based compensation, fair value gain/loss in other investment and share of profit/loss in equity method investment, net of tax. Adjusted EBITDA is defined as net income/(loss) excluding share-based compensation, fair value gain/loss in other investment, share of profit/loss in equity method investment, net of tax, interest expense, income tax expenses and depreciation and amortization.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that adjusted net income/(loss) and adjusted EBITDA help identify underlying trends in its business that could otherwise be distorted by the effect of certain expenses that are included in income/(loss) from operations and net income/(loss). The Company believes that adjusted net income/(loss) and adjusted EBITDA provide useful information about its operating results, enhance the overall understanding of its past performance and future prospects and allow for greater visibility with respect to key metrics used by its management in its financial and operational decision-making.</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non-GAAP financial measures are not defined under U.S. GAAP and are not presented in accordance with U.S. GAAP. The non- GAAP financial measures have limitations as analytical tools. One of the key limitations of using adjusted net income/(loss) and adjusted EBITDA is that they do not reflect all items of income and expense that affect the Company’s operations. Share-based compensation, fair value gain/loss in other investment and share of profit/loss in equity method investment, net of tax, have been and may continue to be incurred in the Company’s business and is not reflected in the presentation of adjusted net income/(loss). Further, the non-GAAP financial measures may differ from the non-GAAP information used by other companies, including peer companies, and therefore their comparability may be limited.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compensates for these limitations by reconciling the non-GAAP financial measure to the nearest U.S. GAAP performance measure, all of which should be considered when evaluating its performance. The Company encourages investors and others to review its financial information in its entirety and not rely on a single financial measure.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Reconciliation of each of these non-GAAP financial measures to the most directly comparable GAAP financial measure is set forth at the end of this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UCLOUDLINK will hold a conference call at 8:30 a.m. Eastern Time on Wednesday, March 18, 2026 (8:30 p.m. Hong Kong Time on the same day) to discuss financial results and answer questions from investors and analysts. Listeners may access the call by dialing: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Other International:</w:t>
            </w:r>
          </w:p>
        </w:tc>
        <w:tc>
          <w:tcPr>
            <w:tcW w:w="15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+6-173-145-4010</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USA/Canada (Toll Free):</w:t>
            </w:r>
          </w:p>
        </w:tc>
        <w:tc>
          <w:tcPr>
            <w:tcW w:w="15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+1-855-881-1339</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UK (Toll Free):</w:t>
            </w:r>
          </w:p>
        </w:tc>
        <w:tc>
          <w:tcPr>
            <w:tcW w:w="1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0-800-051-8245</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 (Toll Free):</w:t>
            </w:r>
          </w:p>
        </w:tc>
        <w:tc>
          <w:tcPr>
            <w:tcW w:w="1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4001-200-659</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Hong Kong (Toll Free):</w:t>
            </w:r>
          </w:p>
        </w:tc>
        <w:tc>
          <w:tcPr>
            <w:tcW w:w="1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800-966-806</w:t>
            </w: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Singapore (Toll Free):</w:t>
            </w:r>
          </w:p>
        </w:tc>
        <w:tc>
          <w:tcPr>
            <w:tcW w:w="1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800-101-2785</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Participants should dial in at least 10 minutes before the scheduled start time and ask to be connected to the call for “UCLOUDLINK GROUP INC.” Additionally, a live and archived webcast of the conference call will be available at https://ir.ucloudlink.com.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telephone replay will be available one hour after the end of the conference until March 25, 2026, by dialing: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US/Canada (Toll Free):</w:t>
            </w:r>
          </w:p>
        </w:tc>
        <w:tc>
          <w:tcPr>
            <w:tcW w:w="16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7"/>
              </w:rPr>
              <w:t>+1-855-883-1031</w:t>
            </w: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UK (Toll Free):</w:t>
            </w:r>
          </w:p>
        </w:tc>
        <w:tc>
          <w:tcPr>
            <w:tcW w:w="16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7"/>
              </w:rPr>
              <w:t>+0-800-031-4295</w:t>
            </w: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Hong Kong (Toll Free):</w:t>
            </w:r>
          </w:p>
        </w:tc>
        <w:tc>
          <w:tcPr>
            <w:tcW w:w="1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800-930-639</w:t>
            </w:r>
          </w:p>
        </w:tc>
      </w:tr>
      <w:tr>
        <w:trPr>
          <w:trHeight w:val="234"/>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Replay Passcode:</w:t>
            </w:r>
          </w:p>
        </w:tc>
        <w:tc>
          <w:tcPr>
            <w:tcW w:w="1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10053729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UCLOUDLINK GROUP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UCLOUDLINK is the world’s first and leading mobile data traffic sharing marketplace, pioneering the sharing economy business model for the telecommunications industry. The Company’s products and services deliver unique value propositions to mobile data users, handset and smart-hardware companies, mobile virtual network operators (MVNOs) and mobile network operators (MNOs). Leveraging its innovative cloud SIM technology and architecture, the Company has redefined the mobile data connectivity experience by allowing users to gain access to mobile data traffic allowance shared by network operators on its marketplace, while providing reliable connectivity, high speeds and competitive pricing.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“confident” and similar statements. Among other things, the financial guidance and quotations from management in this announcement, as well as UCLOUDLINK’s strategic and operational plans, contain forward-looking statements. UCLOUDLINK may also make written or oral forward-looking statements in its periodic reports to the U.S. Securities and Exchange Commission, in its annual report to shareholders, in press releases and other written materials and in oral statements made by its officers, directors or employees to third parties. Statements that are not historical facts, including but not limited to statements about UCLOUDLINK’s beliefs and expectations, are forward-looking statements. Forward looking statements involve inherent risks and uncertainties. A number of factors could cause actual results to differ materially from those contained in any forward-looking statement, including but not limited to the following: UCLOUDLINK’s strategies; UCLOUDLINK’s future business development, financial condition and results of operations; UCLOUDLINK’s ability to increase its user base and usage of its mobile data connectivity services, and improve operational efficiency; competition in the global mobile data connectivity service industry; changes in UCLOUDLINK’s revenues, costs or expenditures; governmental policies and regulations relating to the global mobile data connectivity service industry, general economic and business conditions globally and in China; the impact of the COVID-19 pandemic to UCLOUDLINK’s business operations and the economy in China and elsewhere generally; and assumptions underlying or related to any of the foregoing. Further information regarding these and other risks is included in the Company’s filings with the Securities and Exchange Commission. All information provided in this press release and in the attachments is as of the date of the press release, and UCLOUDLINK undertakes no duty to update such information, except as required under applicable law.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UCLOUDLINK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Gao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+852-2180-6111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ir@ucloudlink.com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Christensen Advisory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Christian Arnell, Managing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+852-2117-0861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ucloudlink@christensencomms.com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UCLOUDLINK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except for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29"/>
        </w:trPr>
        <w:tc>
          <w:tcPr>
            <w:tcW w:w="50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5060" w:type="dxa"/>
            <w:vAlign w:val="bottom"/>
          </w:tcPr>
          <w:p>
            <w:pPr>
              <w:spacing w:after="0"/>
              <w:rPr>
                <w:sz w:val="21"/>
                <w:szCs w:val="21"/>
                <w:color w:val="auto"/>
              </w:rPr>
            </w:pPr>
          </w:p>
        </w:tc>
        <w:tc>
          <w:tcPr>
            <w:tcW w:w="4740" w:type="dxa"/>
            <w:vAlign w:val="bottom"/>
            <w:gridSpan w:val="2"/>
          </w:tcPr>
          <w:p>
            <w:pPr>
              <w:jc w:val="center"/>
              <w:ind w:left="35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0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36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30,057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32,831</w:t>
            </w:r>
          </w:p>
        </w:tc>
        <w:tc>
          <w:tcPr>
            <w:tcW w:w="0" w:type="dxa"/>
            <w:vAlign w:val="bottom"/>
          </w:tcPr>
          <w:p>
            <w:pPr>
              <w:spacing w:after="0"/>
              <w:rPr>
                <w:sz w:val="1"/>
                <w:szCs w:val="1"/>
                <w:color w:val="auto"/>
              </w:rPr>
            </w:pPr>
          </w:p>
        </w:tc>
      </w:tr>
      <w:tr>
        <w:trPr>
          <w:trHeight w:val="21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4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7,880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4,436</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4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4,378</w:t>
            </w:r>
          </w:p>
        </w:tc>
        <w:tc>
          <w:tcPr>
            <w:tcW w:w="0" w:type="dxa"/>
            <w:vAlign w:val="bottom"/>
          </w:tcPr>
          <w:p>
            <w:pPr>
              <w:spacing w:after="0"/>
              <w:rPr>
                <w:sz w:val="1"/>
                <w:szCs w:val="1"/>
                <w:color w:val="auto"/>
              </w:rPr>
            </w:pPr>
          </w:p>
        </w:tc>
      </w:tr>
      <w:tr>
        <w:trPr>
          <w:trHeight w:val="21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4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5,637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4,574</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investments</w:t>
            </w:r>
          </w:p>
        </w:tc>
        <w:tc>
          <w:tcPr>
            <w:tcW w:w="4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8,703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13,346</w:t>
            </w:r>
          </w:p>
        </w:tc>
        <w:tc>
          <w:tcPr>
            <w:tcW w:w="0" w:type="dxa"/>
            <w:vAlign w:val="bottom"/>
          </w:tcPr>
          <w:p>
            <w:pPr>
              <w:spacing w:after="0"/>
              <w:rPr>
                <w:sz w:val="1"/>
                <w:szCs w:val="1"/>
                <w:color w:val="auto"/>
              </w:rPr>
            </w:pPr>
          </w:p>
        </w:tc>
      </w:tr>
      <w:tr>
        <w:trPr>
          <w:trHeight w:val="237"/>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4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1,971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1,697</w:t>
            </w:r>
          </w:p>
        </w:tc>
        <w:tc>
          <w:tcPr>
            <w:tcW w:w="0" w:type="dxa"/>
            <w:vAlign w:val="bottom"/>
          </w:tcPr>
          <w:p>
            <w:pPr>
              <w:spacing w:after="0"/>
              <w:rPr>
                <w:sz w:val="1"/>
                <w:szCs w:val="1"/>
                <w:color w:val="auto"/>
              </w:rPr>
            </w:pPr>
          </w:p>
        </w:tc>
      </w:tr>
      <w:tr>
        <w:trPr>
          <w:trHeight w:val="236"/>
        </w:trPr>
        <w:tc>
          <w:tcPr>
            <w:tcW w:w="50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6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55,560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61,262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Non-current assets</w:t>
            </w:r>
          </w:p>
        </w:tc>
        <w:tc>
          <w:tcPr>
            <w:tcW w:w="3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investments</w:t>
            </w:r>
          </w:p>
        </w:tc>
        <w:tc>
          <w:tcPr>
            <w:tcW w:w="4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2,044</w:t>
            </w:r>
          </w:p>
        </w:tc>
        <w:tc>
          <w:tcPr>
            <w:tcW w:w="0" w:type="dxa"/>
            <w:vAlign w:val="bottom"/>
          </w:tcPr>
          <w:p>
            <w:pPr>
              <w:spacing w:after="0"/>
              <w:rPr>
                <w:sz w:val="1"/>
                <w:szCs w:val="1"/>
                <w:color w:val="auto"/>
              </w:rPr>
            </w:pPr>
          </w:p>
        </w:tc>
      </w:tr>
      <w:tr>
        <w:trPr>
          <w:trHeight w:val="21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 net</w:t>
            </w:r>
          </w:p>
        </w:tc>
        <w:tc>
          <w:tcPr>
            <w:tcW w:w="4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2,876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1,745</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2,224</w:t>
            </w:r>
          </w:p>
        </w:tc>
        <w:tc>
          <w:tcPr>
            <w:tcW w:w="0" w:type="dxa"/>
            <w:vAlign w:val="bottom"/>
          </w:tcPr>
          <w:p>
            <w:pPr>
              <w:spacing w:after="0"/>
              <w:rPr>
                <w:sz w:val="1"/>
                <w:szCs w:val="1"/>
                <w:color w:val="auto"/>
              </w:rPr>
            </w:pPr>
          </w:p>
        </w:tc>
      </w:tr>
      <w:tr>
        <w:trPr>
          <w:trHeight w:val="21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4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507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5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Prepayments</w:t>
            </w:r>
          </w:p>
        </w:tc>
        <w:tc>
          <w:tcPr>
            <w:tcW w:w="4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36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9,419</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6,567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64,979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67,829</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6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 term borrowings</w:t>
            </w:r>
          </w:p>
        </w:tc>
        <w:tc>
          <w:tcPr>
            <w:tcW w:w="4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6,956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5,549</w:t>
            </w:r>
          </w:p>
        </w:tc>
        <w:tc>
          <w:tcPr>
            <w:tcW w:w="0" w:type="dxa"/>
            <w:vAlign w:val="bottom"/>
          </w:tcPr>
          <w:p>
            <w:pPr>
              <w:spacing w:after="0"/>
              <w:rPr>
                <w:sz w:val="1"/>
                <w:szCs w:val="1"/>
                <w:color w:val="auto"/>
              </w:rPr>
            </w:pPr>
          </w:p>
        </w:tc>
      </w:tr>
      <w:tr>
        <w:trPr>
          <w:trHeight w:val="21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bank borrowings</w:t>
            </w:r>
          </w:p>
        </w:tc>
        <w:tc>
          <w:tcPr>
            <w:tcW w:w="4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4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25,169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19,343</w:t>
            </w:r>
          </w:p>
        </w:tc>
        <w:tc>
          <w:tcPr>
            <w:tcW w:w="0" w:type="dxa"/>
            <w:vAlign w:val="bottom"/>
          </w:tcPr>
          <w:p>
            <w:pPr>
              <w:spacing w:after="0"/>
              <w:rPr>
                <w:sz w:val="1"/>
                <w:szCs w:val="1"/>
                <w:color w:val="auto"/>
              </w:rPr>
            </w:pPr>
          </w:p>
        </w:tc>
      </w:tr>
      <w:tr>
        <w:trPr>
          <w:trHeight w:val="21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7,445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7,193</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4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4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709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3,425</w:t>
            </w:r>
          </w:p>
        </w:tc>
        <w:tc>
          <w:tcPr>
            <w:tcW w:w="0" w:type="dxa"/>
            <w:vAlign w:val="bottom"/>
          </w:tcPr>
          <w:p>
            <w:pPr>
              <w:spacing w:after="0"/>
              <w:rPr>
                <w:sz w:val="1"/>
                <w:szCs w:val="1"/>
                <w:color w:val="auto"/>
              </w:rPr>
            </w:pPr>
          </w:p>
        </w:tc>
      </w:tr>
      <w:tr>
        <w:trPr>
          <w:trHeight w:val="25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1,189</w:t>
            </w: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6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42,181</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36,767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6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 term borrowings</w:t>
            </w:r>
          </w:p>
        </w:tc>
        <w:tc>
          <w:tcPr>
            <w:tcW w:w="4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1,622</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3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6"/>
        </w:trPr>
        <w:tc>
          <w:tcPr>
            <w:tcW w:w="50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36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6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36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43,356</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39,021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ordinary shares</w:t>
            </w:r>
          </w:p>
        </w:tc>
        <w:tc>
          <w:tcPr>
            <w:tcW w:w="4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B ordinary shares</w:t>
            </w:r>
          </w:p>
        </w:tc>
        <w:tc>
          <w:tcPr>
            <w:tcW w:w="4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241,378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242,421</w:t>
            </w:r>
          </w:p>
        </w:tc>
        <w:tc>
          <w:tcPr>
            <w:tcW w:w="0" w:type="dxa"/>
            <w:vAlign w:val="bottom"/>
          </w:tcPr>
          <w:p>
            <w:pPr>
              <w:spacing w:after="0"/>
              <w:rPr>
                <w:sz w:val="1"/>
                <w:szCs w:val="1"/>
                <w:color w:val="auto"/>
              </w:rPr>
            </w:pPr>
          </w:p>
        </w:tc>
      </w:tr>
      <w:tr>
        <w:trPr>
          <w:trHeight w:val="21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4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2,234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2,075</w:t>
            </w:r>
          </w:p>
        </w:tc>
        <w:tc>
          <w:tcPr>
            <w:tcW w:w="0" w:type="dxa"/>
            <w:vAlign w:val="bottom"/>
          </w:tcPr>
          <w:p>
            <w:pPr>
              <w:spacing w:after="0"/>
              <w:rPr>
                <w:sz w:val="1"/>
                <w:szCs w:val="1"/>
                <w:color w:val="auto"/>
              </w:rPr>
            </w:pPr>
          </w:p>
        </w:tc>
      </w:tr>
      <w:tr>
        <w:trPr>
          <w:trHeight w:val="249"/>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losses</w:t>
            </w:r>
          </w:p>
        </w:tc>
        <w:tc>
          <w:tcPr>
            <w:tcW w:w="4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(222,008)</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(215,707)</w:t>
            </w: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6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21,623</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28,808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4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64,979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67,829</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bottom w:val="single" w:sz="8" w:color="CCEEFF"/>
            </w:tcBorders>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14</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0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UCLOUDLINK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COMPREHENSIVE INCOME/(LOSS)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except for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72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54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For the years ended</w:t>
            </w:r>
          </w:p>
        </w:tc>
      </w:tr>
      <w:tr>
        <w:trPr>
          <w:trHeight w:val="194"/>
        </w:trPr>
        <w:tc>
          <w:tcPr>
            <w:tcW w:w="5980" w:type="dxa"/>
            <w:vAlign w:val="bottom"/>
          </w:tcPr>
          <w:p>
            <w:pPr>
              <w:spacing w:after="0"/>
              <w:rPr>
                <w:sz w:val="16"/>
                <w:szCs w:val="16"/>
                <w:color w:val="auto"/>
              </w:rPr>
            </w:pPr>
          </w:p>
        </w:tc>
        <w:tc>
          <w:tcPr>
            <w:tcW w:w="1380" w:type="dxa"/>
            <w:vAlign w:val="bottom"/>
            <w:tcBorders>
              <w:top w:val="single" w:sz="8" w:color="auto"/>
            </w:tcBorders>
            <w:gridSpan w:val="2"/>
          </w:tcPr>
          <w:p>
            <w:pPr>
              <w:jc w:val="right"/>
              <w:ind w:right="30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6"/>
                <w:szCs w:val="16"/>
                <w:color w:val="auto"/>
              </w:rPr>
            </w:pPr>
          </w:p>
        </w:tc>
        <w:tc>
          <w:tcPr>
            <w:tcW w:w="1320" w:type="dxa"/>
            <w:vAlign w:val="bottom"/>
            <w:tcBorders>
              <w:top w:val="single" w:sz="8" w:color="auto"/>
            </w:tcBorders>
            <w:gridSpan w:val="2"/>
          </w:tcPr>
          <w:p>
            <w:pPr>
              <w:jc w:val="right"/>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25,960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22,170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91,635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81,449</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Revenues from services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15,015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15,186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60,002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61,060</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of products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10,945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6,984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31,633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20,389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(14,786)</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(10,734)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(47,274)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(38,766)</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(6,216)</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(5,818)</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(23,503)</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(25,639)</w:t>
            </w: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products sold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(8,570)</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(4,916)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(23,771)</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(13,127)</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11,174</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11,436</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44,361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42,683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(1,794)</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(425)</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(6,198)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(4,868)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(6,228)</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(6,098)</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(19,926)</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(23,986)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(6,057)</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(3,036)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(15,947)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(12,577)</w:t>
            </w: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income/(expenses), net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1,187</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(3,490)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6,714</w:t>
            </w: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(Loss)/income from operations</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(1,718)</w:t>
            </w: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(1,613)</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4,385</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7,966</w:t>
            </w: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(Loss)/income before income tax</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(1,593)</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(1,651)</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(1,415)</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(1,525)</w:t>
            </w: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profit/(loss) in equity method investment, net of tax</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93</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(loss)/income</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(1,502)</w:t>
            </w: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(3,069)</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4,558</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6,301</w:t>
            </w: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Attributable to:</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Equity holders of the Company</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(1,502)</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(3,069)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4,558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6,301</w:t>
            </w: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(Loss)/earnings per share for Class A and Class B ordinary shares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(0.00)</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(0.00)</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(Loss)/earnings per ADS (10 Class A shares equal to 1 ADS)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(0.04)</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0.17</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(0.04)</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0.17</w:t>
            </w: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Shares used in earnings per Class A and Class B ordinary share computation:</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377,971,590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380,572,660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376,344,425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378,546,843</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377,971,590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380,572,660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376,344,425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378,546,843</w:t>
            </w: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Net (loss)/income</w:t>
      </w:r>
    </w:p>
    <w:p>
      <w:pPr>
        <w:spacing w:after="0" w:line="9" w:lineRule="exact"/>
        <w:rPr>
          <w:sz w:val="20"/>
          <w:szCs w:val="20"/>
          <w:color w:val="auto"/>
        </w:rPr>
      </w:pPr>
    </w:p>
    <w:p>
      <w:pPr>
        <w:ind w:right="17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Other comprehensive (loss)/income, net of tax </w:t>
      </w:r>
      <w:r>
        <w:rPr>
          <w:rFonts w:ascii="Times New Roman" w:cs="Times New Roman" w:eastAsia="Times New Roman" w:hAnsi="Times New Roman"/>
          <w:sz w:val="18"/>
          <w:szCs w:val="18"/>
          <w:color w:val="auto"/>
        </w:rPr>
        <w:t>Foreign currency translation adjustment</w:t>
      </w:r>
    </w:p>
    <w:p>
      <w:pPr>
        <w:spacing w:after="0"/>
        <w:rPr>
          <w:sz w:val="20"/>
          <w:szCs w:val="20"/>
          <w:color w:val="auto"/>
        </w:rPr>
      </w:pPr>
      <w:r>
        <w:rPr>
          <w:rFonts w:ascii="Times New Roman" w:cs="Times New Roman" w:eastAsia="Times New Roman" w:hAnsi="Times New Roman"/>
          <w:sz w:val="18"/>
          <w:szCs w:val="18"/>
          <w:b w:val="1"/>
          <w:bCs w:val="1"/>
          <w:color w:val="auto"/>
        </w:rPr>
        <w:t>Total comprehensive (loss)/income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(1,502)</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(3,069)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4,558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6,301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458</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7"/>
        </w:trPr>
        <w:tc>
          <w:tcPr>
            <w:tcW w:w="1120" w:type="dxa"/>
            <w:vAlign w:val="bottom"/>
            <w:shd w:val="clear" w:color="auto" w:fill="000000"/>
          </w:tcPr>
          <w:p>
            <w:pPr>
              <w:spacing w:after="0"/>
              <w:rPr>
                <w:sz w:val="2"/>
                <w:szCs w:val="2"/>
                <w:color w:val="auto"/>
              </w:rPr>
            </w:pPr>
          </w:p>
        </w:tc>
        <w:tc>
          <w:tcPr>
            <w:tcW w:w="26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shd w:val="clear" w:color="auto" w:fill="000000"/>
          </w:tcPr>
          <w:p>
            <w:pPr>
              <w:spacing w:after="0"/>
              <w:rPr>
                <w:sz w:val="2"/>
                <w:szCs w:val="2"/>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(1,044</w:t>
            </w:r>
          </w:p>
        </w:tc>
        <w:tc>
          <w:tcPr>
            <w:tcW w:w="260" w:type="dxa"/>
            <w:vAlign w:val="bottom"/>
            <w:vMerge w:val="continue"/>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(3,091</w:t>
            </w:r>
          </w:p>
        </w:tc>
        <w:tc>
          <w:tcPr>
            <w:tcW w:w="220" w:type="dxa"/>
            <w:vAlign w:val="bottom"/>
            <w:vMerge w:val="continue"/>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4,329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6,142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-496570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-205105</wp:posOffset>
            </wp:positionV>
            <wp:extent cx="713232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900"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UCLOUDLINK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72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54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0" w:type="dxa"/>
            <w:vAlign w:val="bottom"/>
          </w:tcPr>
          <w:p>
            <w:pPr>
              <w:spacing w:after="0"/>
              <w:rPr>
                <w:sz w:val="1"/>
                <w:szCs w:val="1"/>
                <w:color w:val="auto"/>
              </w:rPr>
            </w:pPr>
          </w:p>
        </w:tc>
      </w:tr>
      <w:tr>
        <w:trPr>
          <w:trHeight w:val="194"/>
        </w:trPr>
        <w:tc>
          <w:tcPr>
            <w:tcW w:w="48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80" w:type="dxa"/>
            <w:vAlign w:val="bottom"/>
            <w:tcBorders>
              <w:top w:val="single" w:sz="8" w:color="auto"/>
            </w:tcBorders>
            <w:gridSpan w:val="2"/>
          </w:tcPr>
          <w:p>
            <w:pPr>
              <w:jc w:val="right"/>
              <w:ind w:right="30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6"/>
                <w:szCs w:val="16"/>
                <w:color w:val="auto"/>
              </w:rPr>
            </w:pPr>
          </w:p>
        </w:tc>
        <w:tc>
          <w:tcPr>
            <w:tcW w:w="1320" w:type="dxa"/>
            <w:vAlign w:val="bottom"/>
            <w:tcBorders>
              <w:top w:val="single" w:sz="8" w:color="auto"/>
            </w:tcBorders>
            <w:gridSpan w:val="2"/>
          </w:tcPr>
          <w:p>
            <w:pPr>
              <w:jc w:val="right"/>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840" w:type="dxa"/>
            <w:vAlign w:val="bottom"/>
          </w:tcPr>
          <w:p>
            <w:pPr>
              <w:spacing w:after="0"/>
              <w:rPr>
                <w:sz w:val="21"/>
                <w:szCs w:val="21"/>
                <w:color w:val="auto"/>
              </w:rPr>
            </w:pPr>
          </w:p>
        </w:tc>
        <w:tc>
          <w:tcPr>
            <w:tcW w:w="22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 operating activities</w:t>
            </w:r>
          </w:p>
        </w:tc>
        <w:tc>
          <w:tcPr>
            <w:tcW w:w="1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in)/generated from investing activities</w:t>
            </w:r>
          </w:p>
        </w:tc>
        <w:tc>
          <w:tcPr>
            <w:tcW w:w="25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(580)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(3,758)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(1,028)</w:t>
            </w:r>
          </w:p>
        </w:tc>
        <w:tc>
          <w:tcPr>
            <w:tcW w:w="0" w:type="dxa"/>
            <w:vAlign w:val="bottom"/>
          </w:tcPr>
          <w:p>
            <w:pPr>
              <w:spacing w:after="0"/>
              <w:rPr>
                <w:sz w:val="1"/>
                <w:szCs w:val="1"/>
                <w:color w:val="auto"/>
              </w:rPr>
            </w:pPr>
          </w:p>
        </w:tc>
      </w:tr>
      <w:tr>
        <w:trPr>
          <w:trHeight w:val="249"/>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from/(used in) financing activities</w:t>
            </w:r>
          </w:p>
        </w:tc>
        <w:tc>
          <w:tcPr>
            <w:tcW w:w="25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3,061</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3"/>
        </w:trPr>
        <w:tc>
          <w:tcPr>
            <w:tcW w:w="48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Increase in cash and cash equivalents</w:t>
            </w:r>
          </w:p>
        </w:tc>
        <w:tc>
          <w:tcPr>
            <w:tcW w:w="114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3,021</w:t>
            </w: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4,199</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7,160</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2,302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period/year</w:t>
            </w:r>
          </w:p>
        </w:tc>
        <w:tc>
          <w:tcPr>
            <w:tcW w:w="25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27,678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28,516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23,371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30,057</w:t>
            </w:r>
          </w:p>
        </w:tc>
        <w:tc>
          <w:tcPr>
            <w:tcW w:w="0" w:type="dxa"/>
            <w:vAlign w:val="bottom"/>
          </w:tcPr>
          <w:p>
            <w:pPr>
              <w:spacing w:after="0"/>
              <w:rPr>
                <w:sz w:val="1"/>
                <w:szCs w:val="1"/>
                <w:color w:val="auto"/>
              </w:rPr>
            </w:pPr>
          </w:p>
        </w:tc>
      </w:tr>
      <w:tr>
        <w:trPr>
          <w:trHeight w:val="22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114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7"/>
        </w:trPr>
        <w:tc>
          <w:tcPr>
            <w:tcW w:w="4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the period/year</w:t>
            </w:r>
          </w:p>
        </w:tc>
        <w:tc>
          <w:tcPr>
            <w:tcW w:w="11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30,057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32,831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30,057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32,831</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16</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8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UCLOUDLINK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RECONCILIATIONS OF NON-GAAP AND GAAP RESULTS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8"/>
          <w:szCs w:val="18"/>
          <w:b w:val="1"/>
          <w:bCs w:val="1"/>
          <w:color w:val="auto"/>
        </w:rPr>
        <w:t>Reconciliation of Net (Loss)/Income to Adjusted Net (Loss)/Income Net (loss)/income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 share-based compensation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fair value (gain)/loss in other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share of (profit)/loss in equity method investment, net of tax</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net (loss)/income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272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50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0" w:type="dxa"/>
            <w:vAlign w:val="bottom"/>
          </w:tcPr>
          <w:p>
            <w:pPr>
              <w:spacing w:after="0"/>
              <w:rPr>
                <w:sz w:val="1"/>
                <w:szCs w:val="1"/>
                <w:color w:val="auto"/>
              </w:rPr>
            </w:pPr>
          </w:p>
        </w:tc>
      </w:tr>
      <w:tr>
        <w:trPr>
          <w:trHeight w:val="194"/>
        </w:trPr>
        <w:tc>
          <w:tcPr>
            <w:tcW w:w="1380" w:type="dxa"/>
            <w:vAlign w:val="bottom"/>
            <w:tcBorders>
              <w:top w:val="single" w:sz="8" w:color="auto"/>
            </w:tcBorders>
            <w:gridSpan w:val="2"/>
          </w:tcPr>
          <w:p>
            <w:pPr>
              <w:jc w:val="center"/>
              <w:ind w:right="181"/>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6"/>
                <w:szCs w:val="16"/>
                <w:color w:val="auto"/>
              </w:rPr>
            </w:pPr>
          </w:p>
        </w:tc>
        <w:tc>
          <w:tcPr>
            <w:tcW w:w="132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4"/>
        </w:trPr>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(1,502)</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(3,069)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4,558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6,301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222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(1,730)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3,937</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(1,091)</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(4,643)</w:t>
            </w:r>
          </w:p>
        </w:tc>
        <w:tc>
          <w:tcPr>
            <w:tcW w:w="0" w:type="dxa"/>
            <w:vAlign w:val="bottom"/>
          </w:tcPr>
          <w:p>
            <w:pPr>
              <w:spacing w:after="0"/>
              <w:rPr>
                <w:sz w:val="1"/>
                <w:szCs w:val="1"/>
                <w:color w:val="auto"/>
              </w:rPr>
            </w:pPr>
          </w:p>
        </w:tc>
      </w:tr>
      <w:tr>
        <w:trPr>
          <w:trHeight w:val="248"/>
        </w:trPr>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20" w:type="dxa"/>
            <w:vAlign w:val="bottom"/>
            <w:shd w:val="clear" w:color="auto" w:fill="000000"/>
          </w:tcPr>
          <w:p>
            <w:pPr>
              <w:spacing w:after="0"/>
              <w:rPr>
                <w:sz w:val="2"/>
                <w:szCs w:val="2"/>
                <w:color w:val="auto"/>
              </w:rPr>
            </w:pPr>
          </w:p>
        </w:tc>
        <w:tc>
          <w:tcPr>
            <w:tcW w:w="26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(3,103</w:t>
            </w:r>
          </w:p>
        </w:tc>
        <w:tc>
          <w:tcPr>
            <w:tcW w:w="260" w:type="dxa"/>
            <w:vAlign w:val="bottom"/>
            <w:vMerge w:val="continue"/>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1,037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4,498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2,713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-770890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-496570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-205105</wp:posOffset>
            </wp:positionV>
            <wp:extent cx="7132320" cy="179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900" w:right="339" w:bottom="1440" w:gutter="0" w:footer="0" w:header="0"/>
          <w:type w:val="continuous"/>
        </w:sectPr>
      </w:pP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72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54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0" w:type="dxa"/>
            <w:vAlign w:val="bottom"/>
          </w:tcPr>
          <w:p>
            <w:pPr>
              <w:spacing w:after="0"/>
              <w:rPr>
                <w:sz w:val="1"/>
                <w:szCs w:val="1"/>
                <w:color w:val="auto"/>
              </w:rPr>
            </w:pPr>
          </w:p>
        </w:tc>
      </w:tr>
      <w:tr>
        <w:trPr>
          <w:trHeight w:val="194"/>
        </w:trPr>
        <w:tc>
          <w:tcPr>
            <w:tcW w:w="5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80" w:type="dxa"/>
            <w:vAlign w:val="bottom"/>
            <w:tcBorders>
              <w:top w:val="single" w:sz="8" w:color="auto"/>
            </w:tcBorders>
            <w:gridSpan w:val="2"/>
          </w:tcPr>
          <w:p>
            <w:pPr>
              <w:jc w:val="center"/>
              <w:ind w:right="181"/>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6"/>
                <w:szCs w:val="16"/>
                <w:color w:val="auto"/>
              </w:rPr>
            </w:pPr>
          </w:p>
        </w:tc>
        <w:tc>
          <w:tcPr>
            <w:tcW w:w="132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160" w:type="dxa"/>
            <w:vAlign w:val="bottom"/>
          </w:tcPr>
          <w:p>
            <w:pPr>
              <w:spacing w:after="0"/>
              <w:rPr>
                <w:sz w:val="21"/>
                <w:szCs w:val="21"/>
                <w:color w:val="auto"/>
              </w:rPr>
            </w:pPr>
          </w:p>
        </w:tc>
        <w:tc>
          <w:tcPr>
            <w:tcW w:w="19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(Loss)/Income to Adjusted EBITDA</w:t>
            </w:r>
          </w:p>
        </w:tc>
        <w:tc>
          <w:tcPr>
            <w:tcW w:w="8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220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(1,502)</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(3,069)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4,558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6,301</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220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1,525</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724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2,809</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220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(725)</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(959)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7,150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10,831</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w:t>
            </w:r>
          </w:p>
        </w:tc>
        <w:tc>
          <w:tcPr>
            <w:tcW w:w="220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222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1,043</w:t>
            </w:r>
          </w:p>
        </w:tc>
        <w:tc>
          <w:tcPr>
            <w:tcW w:w="0" w:type="dxa"/>
            <w:vAlign w:val="bottom"/>
          </w:tcPr>
          <w:p>
            <w:pPr>
              <w:spacing w:after="0"/>
              <w:rPr>
                <w:sz w:val="1"/>
                <w:szCs w:val="1"/>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(gain)/loss in other investments</w:t>
            </w:r>
          </w:p>
        </w:tc>
        <w:tc>
          <w:tcPr>
            <w:tcW w:w="220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(1,730)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3,937</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(1,091)</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(4,643)</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share of (profit)/loss in equity method investment, net of tax</w:t>
            </w:r>
          </w:p>
        </w:tc>
        <w:tc>
          <w:tcPr>
            <w:tcW w:w="8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820" w:type="dxa"/>
            <w:vAlign w:val="bottom"/>
            <w:tcBorders>
              <w:top w:val="single" w:sz="8" w:color="CCEEFF"/>
            </w:tcBorders>
            <w:vMerge w:val="restart"/>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(2,326</w:t>
            </w:r>
          </w:p>
        </w:tc>
        <w:tc>
          <w:tcPr>
            <w:tcW w:w="260" w:type="dxa"/>
            <w:vAlign w:val="bottom"/>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3,147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7,090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7,243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17</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lvl w:ilvl="1">
      <w:lvlJc w:val="left"/>
      <w:lvlText w:val="●"/>
      <w:numFmt w:val="bullet"/>
      <w:start w:val="1"/>
    </w:lvl>
  </w:abstractNum>
  <w:abstractNum w:abstractNumId="3">
    <w:nsid w:val="515F007C"/>
    <w:multiLevelType w:val="hybridMultilevel"/>
    <w:lvl w:ilvl="0">
      <w:lvlJc w:val="left"/>
      <w:lvlText w:val="●"/>
      <w:numFmt w:val="bullet"/>
      <w:start w:val="1"/>
    </w:lvl>
    <w:lvl w:ilvl="1">
      <w:lvlJc w:val="left"/>
      <w:lvlText w:val="●"/>
      <w:numFmt w:val="bullet"/>
      <w:start w:val="1"/>
    </w:lvl>
  </w:abstractNum>
  <w:abstractNum w:abstractNumId="4">
    <w:nsid w:val="5BD062C2"/>
    <w:multiLevelType w:val="hybridMultilevel"/>
    <w:lvl w:ilvl="0">
      <w:lvlJc w:val="left"/>
      <w:lvlText w:val="●"/>
      <w:numFmt w:val="bullet"/>
      <w:start w:val="1"/>
    </w:lvl>
    <w:lvl w:ilvl="1">
      <w:lvlJc w:val="left"/>
      <w:lvlText w:val="●"/>
      <w:numFmt w:val="bullet"/>
      <w:start w:val="1"/>
    </w:lvl>
  </w:abstractNum>
  <w:abstractNum w:abstractNumId="5">
    <w:nsid w:val="12200854"/>
    <w:multiLevelType w:val="hybridMultilevel"/>
    <w:lvl w:ilvl="0">
      <w:lvlJc w:val="left"/>
      <w:lvlText w:val="●"/>
      <w:numFmt w:val="bullet"/>
      <w:start w:val="1"/>
    </w:lvl>
    <w:lvl w:ilvl="1">
      <w:lvlJc w:val="left"/>
      <w:lvlText w:val="●"/>
      <w:numFmt w:val="bullet"/>
      <w:start w:val="1"/>
    </w:lvl>
  </w:abstractNum>
  <w:abstractNum w:abstractNumId="6">
    <w:nsid w:val="4DB127F8"/>
    <w:multiLevelType w:val="hybridMultilevel"/>
    <w:lvl w:ilvl="0">
      <w:lvlJc w:val="left"/>
      <w:lvlText w:val="●"/>
      <w:numFmt w:val="bullet"/>
      <w:start w:val="1"/>
    </w:lvl>
    <w:lvl w:ilvl="1">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lvl w:ilvl="1">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2026-03-18T07:24:59Z</dcterms:created>
  <dcterms:modified xsi:type="dcterms:W3CDTF">2026-03-18T07:24:59Z</dcterms:modified>
</cp:coreProperties>
</file>