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Chen Chaohui</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uCloudlink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UCL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UNIT 2214-RM1, 22/F, MIRA</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PLACE TOWER A</w:t>
      </w:r>
    </w:p>
    <w:p>
      <w:pPr>
        <w:spacing w:after="0" w:line="56" w:lineRule="exact"/>
        <w:rPr>
          <w:sz w:val="24"/>
          <w:szCs w:val="24"/>
          <w:color w:val="auto"/>
        </w:rPr>
      </w:pPr>
    </w:p>
    <w:p>
      <w:pPr>
        <w:ind w:left="140" w:right="1397"/>
        <w:spacing w:after="0" w:line="275" w:lineRule="auto"/>
        <w:rPr>
          <w:sz w:val="20"/>
          <w:szCs w:val="20"/>
          <w:color w:val="auto"/>
        </w:rPr>
      </w:pPr>
      <w:r>
        <w:rPr>
          <w:rFonts w:ascii="Times New Roman" w:cs="Times New Roman" w:eastAsia="Times New Roman" w:hAnsi="Times New Roman"/>
          <w:sz w:val="20"/>
          <w:szCs w:val="20"/>
          <w:color w:val="0000FF"/>
        </w:rPr>
        <w:t>132 NATHAN ROAD, TSIM SHA TSUI, KOWLOON</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HONG</w:t>
            </w: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K3</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000000</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KONG</w:t>
            </w:r>
          </w:p>
        </w:tc>
        <w:tc>
          <w:tcPr>
            <w:tcW w:w="8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2940" w:type="dxa"/>
            <w:vAlign w:val="bottom"/>
            <w:tcBorders>
              <w:bottom w:val="single" w:sz="8" w:color="2C2C2C"/>
            </w:tcBorders>
          </w:tcPr>
          <w:p>
            <w:pPr>
              <w:jc w:val="center"/>
              <w:ind w:left="862"/>
              <w:spacing w:after="0"/>
              <w:rPr>
                <w:sz w:val="20"/>
                <w:szCs w:val="20"/>
                <w:color w:val="auto"/>
              </w:rPr>
            </w:pPr>
            <w:r>
              <w:rPr>
                <w:rFonts w:ascii="Times New Roman" w:cs="Times New Roman" w:eastAsia="Times New Roman" w:hAnsi="Times New Roman"/>
                <w:sz w:val="20"/>
                <w:szCs w:val="20"/>
                <w:color w:val="0000FF"/>
                <w:w w:val="97"/>
              </w:rPr>
              <w:t>2,994,710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ordinary shares</w:t>
            </w:r>
            <w:r>
              <w:rPr>
                <w:rFonts w:ascii="Times New Roman" w:cs="Times New Roman" w:eastAsia="Times New Roman" w:hAnsi="Times New Roman"/>
                <w:sz w:val="25"/>
                <w:szCs w:val="25"/>
                <w:color w:val="008000"/>
                <w:vertAlign w:val="superscript"/>
              </w:rPr>
              <w:t>(1)</w:t>
            </w:r>
          </w:p>
        </w:tc>
        <w:tc>
          <w:tcPr>
            <w:tcW w:w="2940" w:type="dxa"/>
            <w:vAlign w:val="bottom"/>
            <w:tcBorders>
              <w:bottom w:val="single" w:sz="8" w:color="2C2C2C"/>
            </w:tcBorders>
          </w:tcPr>
          <w:p>
            <w:pPr>
              <w:jc w:val="center"/>
              <w:ind w:left="842"/>
              <w:spacing w:after="0"/>
              <w:rPr>
                <w:sz w:val="20"/>
                <w:szCs w:val="20"/>
                <w:color w:val="auto"/>
              </w:rPr>
            </w:pPr>
            <w:r>
              <w:rPr>
                <w:rFonts w:ascii="Times New Roman" w:cs="Times New Roman" w:eastAsia="Times New Roman" w:hAnsi="Times New Roman"/>
                <w:sz w:val="20"/>
                <w:szCs w:val="20"/>
                <w:color w:val="0000FF"/>
                <w:w w:val="97"/>
              </w:rPr>
              <w:t>61,346,560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By MediaPlay Limited</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r>
              <w:rPr>
                <w:rFonts w:ascii="Times New Roman" w:cs="Times New Roman" w:eastAsia="Times New Roman" w:hAnsi="Times New Roman"/>
                <w:sz w:val="25"/>
                <w:szCs w:val="25"/>
                <w:color w:val="008000"/>
                <w:vertAlign w:val="superscript"/>
              </w:rPr>
              <w:t>(3)</w:t>
            </w:r>
          </w:p>
        </w:tc>
        <w:tc>
          <w:tcPr>
            <w:tcW w:w="2940" w:type="dxa"/>
            <w:vAlign w:val="bottom"/>
            <w:tcBorders>
              <w:bottom w:val="single" w:sz="8" w:color="2C2C2C"/>
            </w:tcBorders>
          </w:tcPr>
          <w:p>
            <w:pPr>
              <w:jc w:val="center"/>
              <w:ind w:left="842"/>
              <w:spacing w:after="0"/>
              <w:rPr>
                <w:sz w:val="20"/>
                <w:szCs w:val="20"/>
                <w:color w:val="auto"/>
              </w:rPr>
            </w:pPr>
            <w:r>
              <w:rPr>
                <w:rFonts w:ascii="Times New Roman" w:cs="Times New Roman" w:eastAsia="Times New Roman" w:hAnsi="Times New Roman"/>
                <w:sz w:val="20"/>
                <w:szCs w:val="20"/>
                <w:color w:val="0000FF"/>
                <w:w w:val="98"/>
              </w:rPr>
              <w:t>371,005</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(4)</w:t>
            </w:r>
          </w:p>
        </w:tc>
        <w:tc>
          <w:tcPr>
            <w:tcW w:w="2940" w:type="dxa"/>
            <w:vAlign w:val="bottom"/>
            <w:tcBorders>
              <w:bottom w:val="single" w:sz="8" w:color="2C2C2C"/>
            </w:tcBorders>
          </w:tcPr>
          <w:p>
            <w:pPr>
              <w:jc w:val="center"/>
              <w:ind w:left="842"/>
              <w:spacing w:after="0"/>
              <w:rPr>
                <w:sz w:val="20"/>
                <w:szCs w:val="20"/>
                <w:color w:val="auto"/>
              </w:rPr>
            </w:pPr>
            <w:r>
              <w:rPr>
                <w:rFonts w:ascii="Times New Roman" w:cs="Times New Roman" w:eastAsia="Times New Roman" w:hAnsi="Times New Roman"/>
                <w:sz w:val="20"/>
                <w:szCs w:val="20"/>
                <w:color w:val="0000FF"/>
                <w:w w:val="98"/>
              </w:rPr>
              <w:t>240,000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(5)</w:t>
            </w:r>
          </w:p>
        </w:tc>
        <w:tc>
          <w:tcPr>
            <w:tcW w:w="2940" w:type="dxa"/>
            <w:vAlign w:val="bottom"/>
            <w:tcBorders>
              <w:bottom w:val="single" w:sz="8" w:color="2C2C2C"/>
            </w:tcBorders>
          </w:tcPr>
          <w:p>
            <w:pPr>
              <w:jc w:val="center"/>
              <w:ind w:left="842"/>
              <w:spacing w:after="0"/>
              <w:rPr>
                <w:sz w:val="20"/>
                <w:szCs w:val="20"/>
                <w:color w:val="auto"/>
              </w:rPr>
            </w:pPr>
            <w:r>
              <w:rPr>
                <w:rFonts w:ascii="Times New Roman" w:cs="Times New Roman" w:eastAsia="Times New Roman" w:hAnsi="Times New Roman"/>
                <w:sz w:val="20"/>
                <w:szCs w:val="20"/>
                <w:color w:val="0000FF"/>
                <w:w w:val="94"/>
              </w:rPr>
              <w:t>21,560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(6)</w:t>
            </w:r>
          </w:p>
        </w:tc>
        <w:tc>
          <w:tcPr>
            <w:tcW w:w="2940" w:type="dxa"/>
            <w:vAlign w:val="bottom"/>
            <w:tcBorders>
              <w:bottom w:val="single" w:sz="8" w:color="2C2C2C"/>
            </w:tcBorders>
          </w:tcPr>
          <w:p>
            <w:pPr>
              <w:jc w:val="center"/>
              <w:ind w:left="842"/>
              <w:spacing w:after="0"/>
              <w:rPr>
                <w:sz w:val="20"/>
                <w:szCs w:val="20"/>
                <w:color w:val="auto"/>
              </w:rPr>
            </w:pPr>
            <w:r>
              <w:rPr>
                <w:rFonts w:ascii="Times New Roman" w:cs="Times New Roman" w:eastAsia="Times New Roman" w:hAnsi="Times New Roman"/>
                <w:sz w:val="20"/>
                <w:szCs w:val="20"/>
                <w:color w:val="0000FF"/>
                <w:w w:val="98"/>
              </w:rPr>
              <w:t>300,000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(7)</w:t>
            </w:r>
          </w:p>
        </w:tc>
        <w:tc>
          <w:tcPr>
            <w:tcW w:w="2940" w:type="dxa"/>
            <w:vAlign w:val="bottom"/>
            <w:tcBorders>
              <w:bottom w:val="single" w:sz="8" w:color="2C2C2C"/>
            </w:tcBorders>
          </w:tcPr>
          <w:p>
            <w:pPr>
              <w:jc w:val="center"/>
              <w:ind w:left="842"/>
              <w:spacing w:after="0"/>
              <w:rPr>
                <w:sz w:val="20"/>
                <w:szCs w:val="20"/>
                <w:color w:val="auto"/>
              </w:rPr>
            </w:pPr>
            <w:r>
              <w:rPr>
                <w:rFonts w:ascii="Times New Roman" w:cs="Times New Roman" w:eastAsia="Times New Roman" w:hAnsi="Times New Roman"/>
                <w:sz w:val="20"/>
                <w:szCs w:val="20"/>
                <w:color w:val="0000FF"/>
                <w:w w:val="98"/>
              </w:rPr>
              <w:t>500,000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(8)</w:t>
            </w:r>
          </w:p>
        </w:tc>
        <w:tc>
          <w:tcPr>
            <w:tcW w:w="2940" w:type="dxa"/>
            <w:vAlign w:val="bottom"/>
            <w:tcBorders>
              <w:bottom w:val="single" w:sz="8" w:color="2C2C2C"/>
            </w:tcBorders>
          </w:tcPr>
          <w:p>
            <w:pPr>
              <w:jc w:val="center"/>
              <w:ind w:left="842"/>
              <w:spacing w:after="0"/>
              <w:rPr>
                <w:sz w:val="20"/>
                <w:szCs w:val="20"/>
                <w:color w:val="auto"/>
              </w:rPr>
            </w:pPr>
            <w:r>
              <w:rPr>
                <w:rFonts w:ascii="Times New Roman" w:cs="Times New Roman" w:eastAsia="Times New Roman" w:hAnsi="Times New Roman"/>
                <w:sz w:val="20"/>
                <w:szCs w:val="20"/>
                <w:color w:val="0000FF"/>
                <w:w w:val="98"/>
              </w:rPr>
              <w:t>140,680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(9)</w:t>
            </w:r>
          </w:p>
        </w:tc>
        <w:tc>
          <w:tcPr>
            <w:tcW w:w="2940" w:type="dxa"/>
            <w:vAlign w:val="bottom"/>
            <w:tcBorders>
              <w:bottom w:val="single" w:sz="8" w:color="2C2C2C"/>
            </w:tcBorders>
          </w:tcPr>
          <w:p>
            <w:pPr>
              <w:jc w:val="center"/>
              <w:ind w:left="862"/>
              <w:spacing w:after="0"/>
              <w:rPr>
                <w:sz w:val="20"/>
                <w:szCs w:val="20"/>
                <w:color w:val="auto"/>
              </w:rPr>
            </w:pPr>
            <w:r>
              <w:rPr>
                <w:rFonts w:ascii="Times New Roman" w:cs="Times New Roman" w:eastAsia="Times New Roman" w:hAnsi="Times New Roman"/>
                <w:sz w:val="20"/>
                <w:szCs w:val="20"/>
                <w:color w:val="0000FF"/>
                <w:w w:val="97"/>
              </w:rPr>
              <w:t>1,000,000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(10)</w:t>
            </w:r>
          </w:p>
        </w:tc>
        <w:tc>
          <w:tcPr>
            <w:tcW w:w="2940" w:type="dxa"/>
            <w:vAlign w:val="bottom"/>
            <w:tcBorders>
              <w:bottom w:val="single" w:sz="8" w:color="2C2C2C"/>
            </w:tcBorders>
          </w:tcPr>
          <w:p>
            <w:pPr>
              <w:jc w:val="center"/>
              <w:ind w:left="842"/>
              <w:spacing w:after="0"/>
              <w:rPr>
                <w:sz w:val="20"/>
                <w:szCs w:val="20"/>
                <w:color w:val="auto"/>
              </w:rPr>
            </w:pPr>
            <w:r>
              <w:rPr>
                <w:rFonts w:ascii="Times New Roman" w:cs="Times New Roman" w:eastAsia="Times New Roman" w:hAnsi="Times New Roman"/>
                <w:sz w:val="20"/>
                <w:szCs w:val="20"/>
                <w:color w:val="0000FF"/>
                <w:w w:val="98"/>
              </w:rPr>
              <w:t>343,640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900" w:type="dxa"/>
            <w:vAlign w:val="bottom"/>
            <w:tcBorders>
              <w:top w:val="single" w:sz="8" w:color="808080"/>
            </w:tcBorders>
            <w:shd w:val="clear" w:color="auto" w:fill="2C2C2C"/>
          </w:tcPr>
          <w:p>
            <w:pPr>
              <w:spacing w:after="0" w:line="20" w:lineRule="exact"/>
              <w:rPr>
                <w:sz w:val="1"/>
                <w:szCs w:val="1"/>
                <w:color w:val="auto"/>
              </w:rPr>
            </w:pPr>
          </w:p>
        </w:tc>
        <w:tc>
          <w:tcPr>
            <w:tcW w:w="29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8000"/>
              </w:rPr>
              <w:t>(11)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04/27/2027</w:t>
            </w: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285,000</w:t>
            </w:r>
          </w:p>
        </w:tc>
        <w:tc>
          <w:tcPr>
            <w:tcW w:w="10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0000FF"/>
              </w:rPr>
              <w:t>0.5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4"/>
              </w:rPr>
              <w:t>share</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8000"/>
              </w:rPr>
              <w:t>(11)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04/27/2028</w:t>
            </w: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237,500</w:t>
            </w:r>
          </w:p>
        </w:tc>
        <w:tc>
          <w:tcPr>
            <w:tcW w:w="10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0000FF"/>
              </w:rPr>
              <w:t>0.5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4"/>
              </w:rPr>
              <w:t>share</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8000"/>
              </w:rPr>
              <w:t>(11)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04/27/2029</w:t>
            </w: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237,500</w:t>
            </w:r>
          </w:p>
        </w:tc>
        <w:tc>
          <w:tcPr>
            <w:tcW w:w="10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0000FF"/>
              </w:rPr>
              <w:t>0.5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4"/>
              </w:rPr>
              <w:t>share</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8000"/>
              </w:rPr>
              <w:t>(11)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04/27/2030</w:t>
            </w: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142,500</w:t>
            </w:r>
          </w:p>
        </w:tc>
        <w:tc>
          <w:tcPr>
            <w:tcW w:w="10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0000FF"/>
              </w:rPr>
              <w:t>0.5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4"/>
              </w:rPr>
              <w:t>share</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302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74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83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1832610"/>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8000"/>
              </w:rPr>
              <w:t>(11)</w:t>
            </w:r>
          </w:p>
        </w:tc>
        <w:tc>
          <w:tcPr>
            <w:tcW w:w="8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04/27/2031</w:t>
            </w:r>
          </w:p>
        </w:tc>
        <w:tc>
          <w:tcPr>
            <w:tcW w:w="17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Class A ordinary</w:t>
            </w: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47,500</w:t>
            </w:r>
          </w:p>
        </w:tc>
        <w:tc>
          <w:tcPr>
            <w:tcW w:w="10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0000FF"/>
              </w:rPr>
              <w:t>0.5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0000FF"/>
              </w:rPr>
              <w:t>share</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jc w:val="both"/>
        <w:ind w:left="20" w:right="8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holder of Class A ordinary shares of uCloudlink Group Inc. (the "Company") is entitled to one vote per share and each holder of Class B ordinary shares of the Company is entitled to 15 votes per share on all matters submitted to them for a vote. Class B ordinary shares are convertible at any time by the holder thereof into Class A ordinary shares on a one-for-one basis, whereas Class A ordinary shares are not convertible into Class B ordinary shares under any circumstances.</w:t>
      </w:r>
    </w:p>
    <w:p>
      <w:pPr>
        <w:spacing w:after="0" w:line="29" w:lineRule="exact"/>
        <w:rPr>
          <w:rFonts w:ascii="Times New Roman" w:cs="Times New Roman" w:eastAsia="Times New Roman" w:hAnsi="Times New Roman"/>
          <w:sz w:val="15"/>
          <w:szCs w:val="15"/>
          <w:color w:val="008000"/>
        </w:rPr>
      </w:pPr>
    </w:p>
    <w:p>
      <w:pPr>
        <w:ind w:left="20" w:right="16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MediaPlay Limited is wholly owned by Brilliant Topaz Holding Limited. Brilliant Topaz Holding Limited is wholly owned by Chen Family Evergreen Trust, a trust established for the benefit of Mr. Chaohui Chen and his family. Mr. Chaohui Chen is the settlor and investment advisor of Chen Family Evergreen Trust, and has the power to direct the disposition and voting of the shares of the Issuer held by Chen Family Evergreen Trust.</w:t>
      </w:r>
    </w:p>
    <w:p>
      <w:pPr>
        <w:spacing w:after="0" w:line="29"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of the Company represents 10 Class A ordinary shares.</w:t>
      </w:r>
    </w:p>
    <w:p>
      <w:pPr>
        <w:spacing w:after="0" w:line="52" w:lineRule="exact"/>
        <w:rPr>
          <w:rFonts w:ascii="Times New Roman" w:cs="Times New Roman" w:eastAsia="Times New Roman" w:hAnsi="Times New Roman"/>
          <w:sz w:val="15"/>
          <w:szCs w:val="15"/>
          <w:color w:val="008000"/>
        </w:rPr>
      </w:pPr>
    </w:p>
    <w:p>
      <w:pPr>
        <w:ind w:left="20" w:right="6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restricted share units ("RSUs") granted to the reporting person on August 30, 2022 pursuant to the Company's share incentive plans. Each RSU represents a contingent right to receive one Class A common share upon vesting. 120,000 RSUs will vest on each of August 30, 2026 and 2027.</w:t>
      </w:r>
    </w:p>
    <w:p>
      <w:pPr>
        <w:spacing w:after="0" w:line="17" w:lineRule="exact"/>
        <w:rPr>
          <w:rFonts w:ascii="Times New Roman" w:cs="Times New Roman" w:eastAsia="Times New Roman" w:hAnsi="Times New Roman"/>
          <w:sz w:val="15"/>
          <w:szCs w:val="15"/>
          <w:color w:val="008000"/>
        </w:rPr>
      </w:pPr>
    </w:p>
    <w:p>
      <w:pPr>
        <w:ind w:left="20" w:right="54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January 1, 2023 pursuant to the Company's share incentive plans. Each RSU represents a contingent right to receive one Class A common share upon vesting. 21,560 RSUs will vest on January 31, 2027.</w:t>
      </w:r>
    </w:p>
    <w:p>
      <w:pPr>
        <w:spacing w:after="0" w:line="17" w:lineRule="exact"/>
        <w:rPr>
          <w:rFonts w:ascii="Times New Roman" w:cs="Times New Roman" w:eastAsia="Times New Roman" w:hAnsi="Times New Roman"/>
          <w:sz w:val="15"/>
          <w:szCs w:val="15"/>
          <w:color w:val="008000"/>
        </w:rPr>
      </w:pPr>
    </w:p>
    <w:p>
      <w:pPr>
        <w:ind w:left="20" w:right="64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May 31, 2023 pursuant to the Company's share incentive plans. Each RSU represents a contingent right to receive one Class A common share upon vesting. 100,000 RSUs will vest on each of May 31, 2026, 2027 and 2028.</w:t>
      </w:r>
    </w:p>
    <w:p>
      <w:pPr>
        <w:spacing w:after="0" w:line="17" w:lineRule="exact"/>
        <w:rPr>
          <w:rFonts w:ascii="Times New Roman" w:cs="Times New Roman" w:eastAsia="Times New Roman" w:hAnsi="Times New Roman"/>
          <w:sz w:val="15"/>
          <w:szCs w:val="15"/>
          <w:color w:val="008000"/>
        </w:rPr>
      </w:pPr>
    </w:p>
    <w:p>
      <w:pPr>
        <w:ind w:left="20" w:right="20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May 31, 2024 pursuant to the Company's share incentive plans. Each RSU represents a contingent right to receive one Class A common share upon vesting. 200,000 RSUs will vest on May 31, 2026. 100,000 RSUs will vest on each of May 31, 2027, 2028 and 2029.</w:t>
      </w:r>
    </w:p>
    <w:p>
      <w:pPr>
        <w:spacing w:after="0" w:line="17" w:lineRule="exact"/>
        <w:rPr>
          <w:rFonts w:ascii="Times New Roman" w:cs="Times New Roman" w:eastAsia="Times New Roman" w:hAnsi="Times New Roman"/>
          <w:sz w:val="15"/>
          <w:szCs w:val="15"/>
          <w:color w:val="008000"/>
        </w:rPr>
      </w:pPr>
    </w:p>
    <w:p>
      <w:pPr>
        <w:ind w:left="20" w:right="28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January 31, 2025 pursuant to the Company's share incentive plans. Each RSU represents a contingent right to receive one Class A common share upon vesting. 56,260 RSUs will vest on May 31, 2026. 28,120 RSUs will vest on each of May 31, 2027 and 2028. 28,180 RSUs will vest on May 31, 2029.</w:t>
      </w:r>
    </w:p>
    <w:p>
      <w:pPr>
        <w:spacing w:after="0" w:line="29" w:lineRule="exact"/>
        <w:rPr>
          <w:rFonts w:ascii="Times New Roman" w:cs="Times New Roman" w:eastAsia="Times New Roman" w:hAnsi="Times New Roman"/>
          <w:sz w:val="15"/>
          <w:szCs w:val="15"/>
          <w:color w:val="008000"/>
        </w:rPr>
      </w:pPr>
    </w:p>
    <w:p>
      <w:pPr>
        <w:ind w:left="20" w:right="18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May 31, 2025 pursuant to the Company's share incentive plans. Each RSU represents a contingent right to receive one Class A common share upon vesting. 500,000 RSUs will vest on May 31, 2026. 200,000 RSUs will vest on May 31, 2027. 100,000 RSUs will vest on each of May 31, 2028, 2029 and 2030.</w:t>
      </w:r>
    </w:p>
    <w:p>
      <w:pPr>
        <w:spacing w:after="0" w:line="29" w:lineRule="exact"/>
        <w:rPr>
          <w:rFonts w:ascii="Times New Roman" w:cs="Times New Roman" w:eastAsia="Times New Roman" w:hAnsi="Times New Roman"/>
          <w:sz w:val="15"/>
          <w:szCs w:val="15"/>
          <w:color w:val="008000"/>
        </w:rPr>
      </w:pPr>
    </w:p>
    <w:p>
      <w:pPr>
        <w:ind w:left="20" w:right="140" w:firstLine="5"/>
        <w:spacing w:after="0" w:line="244" w:lineRule="auto"/>
        <w:tabs>
          <w:tab w:leader="none" w:pos="245"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January 31, 2026 pursuant to the Company's share incentive plans. Each RSU represents a contingent right to receive one Class A common share upon vesting. 171,820 RSUs will vest on May 31, 2026. 68,720 RSUs will vest on May 31, 2027. 34,360 RSUs will vest on each of May 31, 2028 and 2029. 34,380 RSUs will vest on May 31, 2030.</w:t>
      </w:r>
    </w:p>
    <w:p>
      <w:pPr>
        <w:spacing w:after="0" w:line="29" w:lineRule="exact"/>
        <w:rPr>
          <w:rFonts w:ascii="Times New Roman" w:cs="Times New Roman" w:eastAsia="Times New Roman" w:hAnsi="Times New Roman"/>
          <w:sz w:val="15"/>
          <w:szCs w:val="15"/>
          <w:color w:val="008000"/>
        </w:rPr>
      </w:pPr>
    </w:p>
    <w:p>
      <w:pPr>
        <w:ind w:left="240" w:hanging="215"/>
        <w:spacing w:after="0"/>
        <w:tabs>
          <w:tab w:leader="none" w:pos="24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 option has fully vested and is exercisable as of the date of this form.</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Chaohui Chen</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220" w:firstLine="5"/>
        <w:spacing w:after="0" w:line="335"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right="6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9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0" Type="http://schemas.openxmlformats.org/officeDocument/2006/relationships/hyperlink" Target="http://www.sec.gov/cgi-bin/browse-edgar?action=getcompany&amp;CIK=0001840438" TargetMode="External"/><Relationship Id="rId11" Type="http://schemas.openxmlformats.org/officeDocument/2006/relationships/hyperlink" Target="http://www.sec.gov/cgi-bin/browse-edgar?action=getcompany&amp;CIK=00017758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2026-03-18T07:49:45Z</dcterms:created>
  <dcterms:modified xsi:type="dcterms:W3CDTF">2026-03-18T07:49:45Z</dcterms:modified>
</cp:coreProperties>
</file>