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9524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952490"/>
                    </a:xfrm>
                    <a:prstGeom prst="rect">
                      <a:avLst/>
                    </a:prstGeom>
                    <a:noFill/>
                  </pic:spPr>
                </pic:pic>
              </a:graphicData>
            </a:graphic>
          </wp:anchor>
        </w:drawing>
      </w:r>
    </w:p>
    <w:p>
      <w:pPr>
        <w:sectPr>
          <w:pgSz w:w="11900" w:h="16854" w:orient="portrait"/>
          <w:cols w:equalWidth="0" w:num="1">
            <w:col w:w="10940"/>
          </w:cols>
          <w:pgMar w:left="480" w:top="230" w:right="479" w:bottom="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Ni Hope</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03/18/2026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uCloudlink Group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UCL</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54" w:orient="portrait"/>
          <w:cols w:equalWidth="0" w:num="3">
            <w:col w:w="2960" w:space="400"/>
            <w:col w:w="1360" w:space="280"/>
            <w:col w:w="5940"/>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UNIT 2214-RM1, 22/F, MIRA</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PLACE TOWER A</w:t>
      </w:r>
    </w:p>
    <w:p>
      <w:pPr>
        <w:spacing w:after="0" w:line="56" w:lineRule="exact"/>
        <w:rPr>
          <w:sz w:val="24"/>
          <w:szCs w:val="24"/>
          <w:color w:val="auto"/>
        </w:rPr>
      </w:pPr>
    </w:p>
    <w:p>
      <w:pPr>
        <w:ind w:left="140" w:right="1397"/>
        <w:spacing w:after="0" w:line="275" w:lineRule="auto"/>
        <w:rPr>
          <w:sz w:val="20"/>
          <w:szCs w:val="20"/>
          <w:color w:val="auto"/>
        </w:rPr>
      </w:pPr>
      <w:r>
        <w:rPr>
          <w:rFonts w:ascii="Times New Roman" w:cs="Times New Roman" w:eastAsia="Times New Roman" w:hAnsi="Times New Roman"/>
          <w:sz w:val="20"/>
          <w:szCs w:val="20"/>
          <w:color w:val="0000FF"/>
        </w:rPr>
        <w:t>132 NATHAN ROAD, TSIM SHA TSUI, KOWLOON</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340" w:type="dxa"/>
            <w:vAlign w:val="bottom"/>
          </w:tcPr>
          <w:p>
            <w:pPr>
              <w:spacing w:after="0"/>
              <w:rPr>
                <w:sz w:val="20"/>
                <w:szCs w:val="20"/>
                <w:color w:val="auto"/>
              </w:rPr>
            </w:pPr>
            <w:r>
              <w:rPr>
                <w:rFonts w:ascii="Arial" w:cs="Arial" w:eastAsia="Arial" w:hAnsi="Arial"/>
                <w:sz w:val="15"/>
                <w:szCs w:val="15"/>
                <w:color w:val="auto"/>
              </w:rPr>
              <w:t>(Street)</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3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HONG</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000000</w:t>
            </w:r>
          </w:p>
        </w:tc>
        <w:tc>
          <w:tcPr>
            <w:tcW w:w="0" w:type="dxa"/>
            <w:vAlign w:val="bottom"/>
          </w:tcPr>
          <w:p>
            <w:pPr>
              <w:spacing w:after="0"/>
              <w:rPr>
                <w:sz w:val="1"/>
                <w:szCs w:val="1"/>
                <w:color w:val="auto"/>
              </w:rPr>
            </w:pPr>
          </w:p>
        </w:tc>
      </w:tr>
      <w:tr>
        <w:trPr>
          <w:trHeight w:val="134"/>
        </w:trPr>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KONG</w:t>
            </w: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340" w:type="dxa"/>
            <w:vAlign w:val="bottom"/>
            <w:vMerge w:val="continue"/>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1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78" w:lineRule="exact"/>
        <w:rPr>
          <w:sz w:val="24"/>
          <w:szCs w:val="24"/>
          <w:color w:val="auto"/>
        </w:rPr>
      </w:pPr>
    </w:p>
    <w:p>
      <w:pPr>
        <w:sectPr>
          <w:pgSz w:w="11900" w:h="16854" w:orient="portrait"/>
          <w:cols w:equalWidth="0" w:num="3">
            <w:col w:w="4277" w:space="720"/>
            <w:col w:w="3003" w:space="269"/>
            <w:col w:w="2671"/>
          </w:cols>
          <w:pgMar w:left="480" w:top="230" w:right="479" w:bottom="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26"/>
        </w:trPr>
        <w:tc>
          <w:tcPr>
            <w:tcW w:w="20" w:type="dxa"/>
            <w:vAlign w:val="bottom"/>
          </w:tcPr>
          <w:p>
            <w:pPr>
              <w:spacing w:after="0"/>
              <w:rPr>
                <w:sz w:val="24"/>
                <w:szCs w:val="24"/>
                <w:color w:val="auto"/>
              </w:rPr>
            </w:pPr>
          </w:p>
        </w:tc>
        <w:tc>
          <w:tcPr>
            <w:tcW w:w="3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(1)</w:t>
            </w:r>
          </w:p>
        </w:tc>
        <w:tc>
          <w:tcPr>
            <w:tcW w:w="2980" w:type="dxa"/>
            <w:vAlign w:val="bottom"/>
            <w:tcBorders>
              <w:bottom w:val="single" w:sz="8" w:color="2C2C2C"/>
            </w:tcBorders>
          </w:tcPr>
          <w:p>
            <w:pPr>
              <w:jc w:val="center"/>
              <w:ind w:left="1002"/>
              <w:spacing w:after="0"/>
              <w:rPr>
                <w:sz w:val="20"/>
                <w:szCs w:val="20"/>
                <w:color w:val="auto"/>
              </w:rPr>
            </w:pPr>
            <w:r>
              <w:rPr>
                <w:rFonts w:ascii="Times New Roman" w:cs="Times New Roman" w:eastAsia="Times New Roman" w:hAnsi="Times New Roman"/>
                <w:sz w:val="20"/>
                <w:szCs w:val="20"/>
                <w:color w:val="0000FF"/>
                <w:w w:val="98"/>
              </w:rPr>
              <w:t>145,000</w:t>
            </w:r>
          </w:p>
        </w:tc>
        <w:tc>
          <w:tcPr>
            <w:tcW w:w="41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D</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(2)</w:t>
            </w:r>
          </w:p>
        </w:tc>
        <w:tc>
          <w:tcPr>
            <w:tcW w:w="2980" w:type="dxa"/>
            <w:vAlign w:val="bottom"/>
            <w:tcBorders>
              <w:bottom w:val="single" w:sz="8" w:color="2C2C2C"/>
            </w:tcBorders>
          </w:tcPr>
          <w:p>
            <w:pPr>
              <w:jc w:val="center"/>
              <w:ind w:left="1002"/>
              <w:spacing w:after="0"/>
              <w:rPr>
                <w:sz w:val="20"/>
                <w:szCs w:val="20"/>
                <w:color w:val="auto"/>
              </w:rPr>
            </w:pPr>
            <w:r>
              <w:rPr>
                <w:rFonts w:ascii="Times New Roman" w:cs="Times New Roman" w:eastAsia="Times New Roman" w:hAnsi="Times New Roman"/>
                <w:sz w:val="20"/>
                <w:szCs w:val="20"/>
                <w:color w:val="0000FF"/>
                <w:w w:val="94"/>
              </w:rPr>
              <w:t>10,000</w:t>
            </w:r>
          </w:p>
        </w:tc>
        <w:tc>
          <w:tcPr>
            <w:tcW w:w="41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D</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(3)</w:t>
            </w:r>
          </w:p>
        </w:tc>
        <w:tc>
          <w:tcPr>
            <w:tcW w:w="2980" w:type="dxa"/>
            <w:vAlign w:val="bottom"/>
            <w:tcBorders>
              <w:bottom w:val="single" w:sz="8" w:color="2C2C2C"/>
            </w:tcBorders>
          </w:tcPr>
          <w:p>
            <w:pPr>
              <w:jc w:val="center"/>
              <w:ind w:left="1002"/>
              <w:spacing w:after="0"/>
              <w:rPr>
                <w:sz w:val="20"/>
                <w:szCs w:val="20"/>
                <w:color w:val="auto"/>
              </w:rPr>
            </w:pPr>
            <w:r>
              <w:rPr>
                <w:rFonts w:ascii="Times New Roman" w:cs="Times New Roman" w:eastAsia="Times New Roman" w:hAnsi="Times New Roman"/>
                <w:sz w:val="20"/>
                <w:szCs w:val="20"/>
                <w:color w:val="0000FF"/>
                <w:w w:val="94"/>
              </w:rPr>
              <w:t>15,000</w:t>
            </w:r>
          </w:p>
        </w:tc>
        <w:tc>
          <w:tcPr>
            <w:tcW w:w="41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D</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(4)</w:t>
            </w:r>
          </w:p>
        </w:tc>
        <w:tc>
          <w:tcPr>
            <w:tcW w:w="2980" w:type="dxa"/>
            <w:vAlign w:val="bottom"/>
            <w:tcBorders>
              <w:bottom w:val="single" w:sz="8" w:color="2C2C2C"/>
            </w:tcBorders>
          </w:tcPr>
          <w:p>
            <w:pPr>
              <w:jc w:val="center"/>
              <w:ind w:left="1002"/>
              <w:spacing w:after="0"/>
              <w:rPr>
                <w:sz w:val="20"/>
                <w:szCs w:val="20"/>
                <w:color w:val="auto"/>
              </w:rPr>
            </w:pPr>
            <w:r>
              <w:rPr>
                <w:rFonts w:ascii="Times New Roman" w:cs="Times New Roman" w:eastAsia="Times New Roman" w:hAnsi="Times New Roman"/>
                <w:sz w:val="20"/>
                <w:szCs w:val="20"/>
                <w:color w:val="0000FF"/>
                <w:w w:val="94"/>
              </w:rPr>
              <w:t>20,000</w:t>
            </w:r>
          </w:p>
        </w:tc>
        <w:tc>
          <w:tcPr>
            <w:tcW w:w="41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D</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(5)</w:t>
            </w:r>
          </w:p>
        </w:tc>
        <w:tc>
          <w:tcPr>
            <w:tcW w:w="2980" w:type="dxa"/>
            <w:vAlign w:val="bottom"/>
            <w:tcBorders>
              <w:bottom w:val="single" w:sz="8" w:color="2C2C2C"/>
            </w:tcBorders>
          </w:tcPr>
          <w:p>
            <w:pPr>
              <w:jc w:val="center"/>
              <w:ind w:left="1002"/>
              <w:spacing w:after="0"/>
              <w:rPr>
                <w:sz w:val="20"/>
                <w:szCs w:val="20"/>
                <w:color w:val="auto"/>
              </w:rPr>
            </w:pPr>
            <w:r>
              <w:rPr>
                <w:rFonts w:ascii="Times New Roman" w:cs="Times New Roman" w:eastAsia="Times New Roman" w:hAnsi="Times New Roman"/>
                <w:sz w:val="20"/>
                <w:szCs w:val="20"/>
                <w:color w:val="0000FF"/>
                <w:w w:val="94"/>
              </w:rPr>
              <w:t>40,000</w:t>
            </w:r>
          </w:p>
        </w:tc>
        <w:tc>
          <w:tcPr>
            <w:tcW w:w="41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D</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800" w:type="dxa"/>
            <w:vAlign w:val="bottom"/>
            <w:tcBorders>
              <w:top w:val="single" w:sz="8" w:color="808080"/>
            </w:tcBorders>
            <w:shd w:val="clear" w:color="auto" w:fill="2C2C2C"/>
          </w:tcPr>
          <w:p>
            <w:pPr>
              <w:spacing w:after="0" w:line="20" w:lineRule="exact"/>
              <w:rPr>
                <w:sz w:val="1"/>
                <w:szCs w:val="1"/>
                <w:color w:val="auto"/>
              </w:rPr>
            </w:pPr>
          </w:p>
        </w:tc>
        <w:tc>
          <w:tcPr>
            <w:tcW w:w="2980" w:type="dxa"/>
            <w:vAlign w:val="bottom"/>
            <w:tcBorders>
              <w:top w:val="single" w:sz="8" w:color="808080"/>
            </w:tcBorders>
            <w:shd w:val="clear" w:color="auto" w:fill="2C2C2C"/>
          </w:tcPr>
          <w:p>
            <w:pPr>
              <w:spacing w:after="0" w:line="20" w:lineRule="exact"/>
              <w:rPr>
                <w:sz w:val="1"/>
                <w:szCs w:val="1"/>
                <w:color w:val="auto"/>
              </w:rPr>
            </w:pPr>
          </w:p>
        </w:tc>
        <w:tc>
          <w:tcPr>
            <w:tcW w:w="41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jc w:val="both"/>
        <w:ind w:left="40" w:right="10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holder of Class A ordinary shares of uCloudlink Group Inc. (the "Company") is entitled to one vote per share and each holder of Class B ordinary shares of the Company is entitled to 15 votes per share on all matters submitted to them for a vote. Class B ordinary shares are convertible at any time by the holder thereof into Class A ordinary shares on a one-for-one basis, whereas Class A ordinary shares are not convertible into Class B ordinary shares under any circumstances.</w:t>
      </w:r>
    </w:p>
    <w:p>
      <w:pPr>
        <w:spacing w:after="0" w:line="29" w:lineRule="exact"/>
        <w:rPr>
          <w:rFonts w:ascii="Times New Roman" w:cs="Times New Roman" w:eastAsia="Times New Roman" w:hAnsi="Times New Roman"/>
          <w:sz w:val="15"/>
          <w:szCs w:val="15"/>
          <w:color w:val="008000"/>
        </w:rPr>
      </w:pPr>
    </w:p>
    <w:p>
      <w:pPr>
        <w:ind w:left="40" w:right="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represents the remaining unvested restricted share units ("RSUs") granted to the reporting person on August 30, 2022 pursuant to the Company's share incentive plans. Each RSU represents a contingent right to receive one Class A common share upon vesting. 5,000 RSUs will vest on each of August 30, 2026 and 2027.</w:t>
      </w:r>
    </w:p>
    <w:p>
      <w:pPr>
        <w:spacing w:after="0" w:line="17" w:lineRule="exact"/>
        <w:rPr>
          <w:rFonts w:ascii="Times New Roman" w:cs="Times New Roman" w:eastAsia="Times New Roman" w:hAnsi="Times New Roman"/>
          <w:sz w:val="15"/>
          <w:szCs w:val="15"/>
          <w:color w:val="008000"/>
        </w:rPr>
      </w:pPr>
    </w:p>
    <w:p>
      <w:pPr>
        <w:ind w:left="40" w:right="6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represents the remaining unvested RSUs granted to the reporting person on May 31, 2023 pursuant to the Company's share incentive plans. Each RSU represents a contingent right to receive one Class A common share upon vesting. 5,000 will vest on each of May 31, 2026, 2027 and 2028.</w:t>
      </w:r>
    </w:p>
    <w:p>
      <w:pPr>
        <w:spacing w:after="0" w:line="17" w:lineRule="exact"/>
        <w:rPr>
          <w:rFonts w:ascii="Times New Roman" w:cs="Times New Roman" w:eastAsia="Times New Roman" w:hAnsi="Times New Roman"/>
          <w:sz w:val="15"/>
          <w:szCs w:val="15"/>
          <w:color w:val="008000"/>
        </w:rPr>
      </w:pPr>
    </w:p>
    <w:p>
      <w:pPr>
        <w:jc w:val="center"/>
        <w:ind w:left="40" w:right="5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represents the remaining unvested RSUs granted to the reporting person on May 31, 2024 pursuant to the Company's share incentive plans. Each RSU represents a contingent right to receive one Class A common share upon vesting. 8,000 RSUs will vest on May 31, 2026. 4,000 RSUs will vest on each of May 31, 2027, 2028 and 2029.</w:t>
      </w:r>
    </w:p>
    <w:p>
      <w:pPr>
        <w:spacing w:after="0" w:line="17" w:lineRule="exact"/>
        <w:rPr>
          <w:rFonts w:ascii="Times New Roman" w:cs="Times New Roman" w:eastAsia="Times New Roman" w:hAnsi="Times New Roman"/>
          <w:sz w:val="15"/>
          <w:szCs w:val="15"/>
          <w:color w:val="008000"/>
        </w:rPr>
      </w:pPr>
    </w:p>
    <w:p>
      <w:pPr>
        <w:ind w:left="40" w:right="8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represents the remaining unvested RSUs granted to the reporting person on May 31, 2025 pursuant to the Company's share incentive plans. Each RSU represents a contingent right to receive one Class A common share upon vesting. 20,000 RSUs will vest on May 31, 2026. 8,000 RSUs will vest on May 31, 2027. 4,000 RSUs will vest on each of May 31, 2028, 2029 and 2030.</w:t>
      </w:r>
    </w:p>
    <w:p>
      <w:pPr>
        <w:spacing w:after="0" w:line="39"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/s/ Hope Ni</w:t>
            </w:r>
          </w:p>
        </w:tc>
        <w:tc>
          <w:tcPr>
            <w:tcW w:w="128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54" w:orient="portrait"/>
          <w:cols w:equalWidth="0" w:num="1">
            <w:col w:w="10940"/>
          </w:cols>
          <w:pgMar w:left="480" w:top="230" w:right="47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313296" TargetMode="External"/><Relationship Id="rId11" Type="http://schemas.openxmlformats.org/officeDocument/2006/relationships/hyperlink" Target="http://www.sec.gov/cgi-bin/browse-edgar?action=getcompany&amp;CIK=00017758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2026-03-18T07:52:25Z</dcterms:created>
  <dcterms:modified xsi:type="dcterms:W3CDTF">2026-03-18T07:52:25Z</dcterms:modified>
</cp:coreProperties>
</file>