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0079-6k_ucloudlink.htm"/>
      <w:bookmarkStart w:id="1" w:name="ksea02900796k_ucloudlink"/>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001-39302</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UCLOUDLINK GROUP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2214-Rm1, 22/F, Mira Place Tower 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 Nathan Road, Tsim Sha Tsui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Kowloon, Hong Kong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28" w:type="dxa"/>
          <w:right w:w="0" w:type="dxa"/>
        </w:tblCellMar>
      </w:tblPr>
      <w:tblGrid>
        <w:gridCol w:w="995"/>
        <w:gridCol w:w="60"/>
        <w:gridCol w:w="132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13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hyperlink w:anchor="ea029007901ex99-1.htm">
              <w:r>
                <w:rPr>
                  <w:rStyle w:val="InternetLink"/>
                  <w:rFonts w:ascii="Times New Roman;Times;Serif" w:hAnsi="Times New Roman;Times;Serif"/>
                </w:rPr>
                <w:t>Press Release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75"/>
        <w:gridCol w:w="545"/>
        <w:gridCol w:w="3005"/>
      </w:tblGrid>
      <w:tr>
        <w:trPr/>
        <w:tc>
          <w:tcPr>
            <w:tcW w:w="75"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UCLOUDLINK GROUP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rFonts w:ascii="Times New Roman;Times;Serif" w:hAnsi="Times New Roman;Times;Serif"/>
                <w:sz w:val="20"/>
              </w:rPr>
              <w:t>By</w:t>
            </w:r>
            <w:r>
              <w:rPr/>
              <w:t>:</w:t>
            </w:r>
          </w:p>
        </w:tc>
        <w:tc>
          <w:tcPr>
            <w:tcW w:w="30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Chaohui Chen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05" w:type="dxa"/>
            <w:tcBorders/>
            <w:vAlign w:val="center"/>
          </w:tcPr>
          <w:p>
            <w:pPr>
              <w:pStyle w:val="TableContents"/>
              <w:bidi w:val="0"/>
              <w:spacing w:before="0" w:after="283"/>
              <w:jc w:val="left"/>
              <w:rPr>
                <w:sz w:val="20"/>
              </w:rPr>
            </w:pPr>
            <w:r>
              <w:rPr>
                <w:sz w:val="20"/>
              </w:rPr>
              <w:t>Chaohui Chen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rFonts w:ascii="Times New Roman;Times;Serif" w:hAnsi="Times New Roman;Times;Serif"/>
                <w:sz w:val="20"/>
              </w:rPr>
              <w:t>Title</w:t>
            </w:r>
            <w:r>
              <w:rPr/>
              <w:t>:</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283"/>
        <w:jc w:val="left"/>
        <w:rPr/>
      </w:pPr>
      <w:r>
        <w:rPr/>
        <w:t> </w:t>
      </w:r>
    </w:p>
    <w:p>
      <w:pPr>
        <w:pStyle w:val="TextBody"/>
        <w:bidi w:val="0"/>
        <w:jc w:val="right"/>
        <w:rPr>
          <w:b/>
        </w:rPr>
      </w:pPr>
      <w:bookmarkStart w:id="2" w:name="ea029007901ex99-1.htm"/>
      <w:bookmarkStart w:id="3" w:name="ksea029007901ex991"/>
      <w:bookmarkEnd w:id="2"/>
      <w:bookmarkEnd w:id="3"/>
      <w:r>
        <w:rPr>
          <w:b/>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UCLOUDLINK GROUP INC. Announces Unaudited First Quarter 2026 Financial Results</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May 13, 2026 – UCLOUDLINK GROUP INC. (“UCLOUDLINK” or the “Company”) (NASDAQ: UCL), the world’s first and leading mobile data traffic sharing marketplace, today announced its unaudited financial results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Financial Highlights</w:t>
      </w:r>
    </w:p>
    <w:p>
      <w:pPr>
        <w:pStyle w:val="TextBody"/>
        <w:bidi w:val="0"/>
        <w:spacing w:before="0" w:after="0"/>
        <w:ind w:left="98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Total revenues</w:t>
            </w:r>
            <w:r>
              <w:rPr/>
              <w:t xml:space="preserve"> were US$16.9 million, representing a decrease of 10.1% from US$18.7 million in the first quarter of 2025.</w:t>
            </w:r>
          </w:p>
        </w:tc>
      </w:tr>
    </w:tbl>
    <w:p>
      <w:pPr>
        <w:pStyle w:val="TextBody"/>
        <w:bidi w:val="0"/>
        <w:spacing w:before="0" w:after="0"/>
        <w:ind w:left="980" w:right="0" w:hanging="49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rPr>
              <w:t>Gross profit</w:t>
            </w:r>
            <w:r>
              <w:rPr/>
              <w:t xml:space="preserve"> was US$8.3 million, representing a decrease of 14.6% from US$9.7 million in the first quarter of 2025.</w:t>
            </w:r>
          </w:p>
        </w:tc>
      </w:tr>
    </w:tbl>
    <w:p>
      <w:pPr>
        <w:pStyle w:val="TextBody"/>
        <w:bidi w:val="0"/>
        <w:spacing w:before="0" w:after="0"/>
        <w:ind w:left="980" w:right="0" w:hanging="49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9"/>
        <w:gridCol w:w="9987"/>
      </w:tblGrid>
      <w:tr>
        <w:trPr/>
        <w:tc>
          <w:tcPr>
            <w:tcW w:w="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both"/>
              <w:rPr/>
            </w:pPr>
            <w:r>
              <w:rPr/>
              <w:t>●</w:t>
            </w:r>
          </w:p>
        </w:tc>
        <w:tc>
          <w:tcPr>
            <w:tcW w:w="9987" w:type="dxa"/>
            <w:tcBorders/>
            <w:vAlign w:val="center"/>
          </w:tcPr>
          <w:p>
            <w:pPr>
              <w:pStyle w:val="TableContents"/>
              <w:bidi w:val="0"/>
              <w:spacing w:before="0" w:after="283"/>
              <w:jc w:val="both"/>
              <w:rPr/>
            </w:pPr>
            <w:r>
              <w:rPr>
                <w:b/>
              </w:rPr>
              <w:t>Loss from operations</w:t>
            </w:r>
            <w:r>
              <w:rPr/>
              <w:t xml:space="preserve"> was US$3.5 million, compared to US$0.5 million in the first quarter of 2025.</w:t>
            </w:r>
          </w:p>
        </w:tc>
      </w:tr>
    </w:tbl>
    <w:p>
      <w:pPr>
        <w:pStyle w:val="TextBody"/>
        <w:bidi w:val="0"/>
        <w:spacing w:before="0" w:after="0"/>
        <w:ind w:left="980" w:right="0" w:hanging="49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7"/>
        <w:gridCol w:w="9952"/>
      </w:tblGrid>
      <w:tr>
        <w:trPr/>
        <w:tc>
          <w:tcPr>
            <w:tcW w:w="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pPr>
            <w:r>
              <w:rPr/>
              <w:t>●</w:t>
            </w:r>
          </w:p>
        </w:tc>
        <w:tc>
          <w:tcPr>
            <w:tcW w:w="9952" w:type="dxa"/>
            <w:tcBorders/>
            <w:vAlign w:val="center"/>
          </w:tcPr>
          <w:p>
            <w:pPr>
              <w:pStyle w:val="TableContents"/>
              <w:bidi w:val="0"/>
              <w:spacing w:before="0" w:after="283"/>
              <w:jc w:val="both"/>
              <w:rPr/>
            </w:pPr>
            <w:r>
              <w:rPr>
                <w:b/>
              </w:rPr>
              <w:t>Net loss</w:t>
            </w:r>
            <w:r>
              <w:rPr/>
              <w:t xml:space="preserve"> was US$3.5 million, compared to US$0.6 million in the first quarter of 2025.</w:t>
            </w:r>
          </w:p>
        </w:tc>
      </w:tr>
    </w:tbl>
    <w:p>
      <w:pPr>
        <w:pStyle w:val="TextBody"/>
        <w:bidi w:val="0"/>
        <w:spacing w:before="0" w:after="0"/>
        <w:ind w:left="980" w:right="0" w:hanging="49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rPr>
              <w:t>Adjusted net loss (non-GAAP)</w:t>
            </w:r>
            <w:r>
              <w:rPr/>
              <w:t xml:space="preserve"> was US$2.6 million, compared to an adjusted net income of US$0.4 million in the first quarter of 2025.</w:t>
            </w:r>
          </w:p>
        </w:tc>
      </w:tr>
    </w:tbl>
    <w:p>
      <w:pPr>
        <w:pStyle w:val="TextBody"/>
        <w:bidi w:val="0"/>
        <w:spacing w:before="0" w:after="0"/>
        <w:ind w:left="980" w:right="0" w:hanging="49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rPr>
              <w:t>Adjusted EBITDA (non-GAAP)</w:t>
            </w:r>
            <w:r>
              <w:rPr/>
              <w:t xml:space="preserve"> was negative US$2.0 million, compared to positive US$1.4 million in the first quarter of 2025.</w:t>
            </w:r>
          </w:p>
        </w:tc>
      </w:tr>
    </w:tbl>
    <w:p>
      <w:pPr>
        <w:pStyle w:val="TextBody"/>
        <w:bidi w:val="0"/>
        <w:spacing w:before="0" w:after="0"/>
        <w:ind w:left="980" w:right="0" w:hanging="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Operational Highlights</w:t>
      </w:r>
    </w:p>
    <w:p>
      <w:pPr>
        <w:pStyle w:val="TextBody"/>
        <w:bidi w:val="0"/>
        <w:spacing w:before="0" w:after="0"/>
        <w:ind w:left="980" w:right="0" w:hanging="49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Total data consumed in the first quarter through the Company’s platform was 45,514 terabytes (6,058 terabytes procured by the Company and 39,456 terabytes procured by our business partners), representing an increase of 5.4% from 43,179 terabytes in the first quarter of 2025.</w:t>
            </w:r>
          </w:p>
        </w:tc>
      </w:tr>
    </w:tbl>
    <w:p>
      <w:pPr>
        <w:pStyle w:val="TextBody"/>
        <w:bidi w:val="0"/>
        <w:spacing w:before="0" w:after="0"/>
        <w:ind w:left="980" w:right="0" w:hanging="49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Average daily active users (“DAU”) in the first quarter were 354,789, representing an increase of 10.2% from 321,836 in the first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 xml:space="preserve">Average DAU in the first quarter from </w:t>
            </w:r>
            <w:r>
              <w:rPr>
                <w:i/>
              </w:rPr>
              <w:t>GlocalMe</w:t>
            </w:r>
            <w:r>
              <w:rPr/>
              <w:t xml:space="preserve"> IoT business was 43,566, representing an increase of 246.5% from 12,573 in the first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 xml:space="preserve">Average DAU in the first quarter from </w:t>
            </w:r>
            <w:r>
              <w:rPr>
                <w:i/>
              </w:rPr>
              <w:t>GlocalMe</w:t>
            </w:r>
            <w:r>
              <w:rPr/>
              <w:t xml:space="preserve"> SIM business was 17,564, representing an increase of 193.6% from 5,983 in the first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 xml:space="preserve">Average DAU in the first quarter from </w:t>
            </w:r>
            <w:r>
              <w:rPr>
                <w:i/>
              </w:rPr>
              <w:t>GlocalMe</w:t>
            </w:r>
            <w:r>
              <w:rPr/>
              <w:t xml:space="preserve"> Life business was 8,117, representing an increase of 559.9% from 1,230 in the first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 xml:space="preserve">Average DAU in the first quarter from </w:t>
            </w:r>
            <w:r>
              <w:rPr>
                <w:i/>
              </w:rPr>
              <w:t>PetPhone</w:t>
            </w:r>
            <w:r>
              <w:rPr/>
              <w:t xml:space="preserve"> business was 1,097, as compared with nil in the first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 xml:space="preserve">Average DAU in the first quarter from </w:t>
            </w:r>
            <w:r>
              <w:rPr>
                <w:i/>
              </w:rPr>
              <w:t>GlocalMe MeowGo</w:t>
            </w:r>
            <w:r>
              <w:rPr/>
              <w:t xml:space="preserve"> business, which was previously referred to as </w:t>
            </w:r>
            <w:r>
              <w:rPr>
                <w:i/>
              </w:rPr>
              <w:t>GlocalMe mobile/fixed broadband</w:t>
            </w:r>
            <w:r>
              <w:rPr/>
              <w:t xml:space="preserve"> business, was 284,445, representing a decrease of 5.8% from 302,050 in the first quarter of 2025.</w:t>
            </w:r>
          </w:p>
        </w:tc>
      </w:tr>
    </w:tbl>
    <w:p>
      <w:pPr>
        <w:pStyle w:val="TextBody"/>
        <w:bidi w:val="0"/>
        <w:spacing w:before="0" w:after="0"/>
        <w:ind w:left="980" w:right="0" w:hanging="49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Average monthly active users (“MAU”) in the first quarter were 737,274, representing an increase of 6.0% from 695,599 in the first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 xml:space="preserve">Average MAU in the first quarter from </w:t>
            </w:r>
            <w:r>
              <w:rPr>
                <w:i/>
              </w:rPr>
              <w:t>GlocalMe</w:t>
            </w:r>
            <w:r>
              <w:rPr/>
              <w:t xml:space="preserve"> IoT business was 66,074, representing an increase of 142.1% from 27,293 in the first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 xml:space="preserve">Average MAU in the first quarter from </w:t>
            </w:r>
            <w:r>
              <w:rPr>
                <w:i/>
              </w:rPr>
              <w:t>GlocalMe</w:t>
            </w:r>
            <w:r>
              <w:rPr/>
              <w:t xml:space="preserve"> SIM business was 75,565, representing an increase of 76.8% from 42,729 in the first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 xml:space="preserve">Average MAU in the first quarter from </w:t>
            </w:r>
            <w:r>
              <w:rPr>
                <w:i/>
              </w:rPr>
              <w:t>GlocalMe</w:t>
            </w:r>
            <w:r>
              <w:rPr/>
              <w:t xml:space="preserve"> Life business was 16,350, representing an increase of 609.0% from 2,306 in the first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 xml:space="preserve">Average MAU in the first quarter from </w:t>
            </w:r>
            <w:r>
              <w:rPr>
                <w:i/>
              </w:rPr>
              <w:t>PetPhone</w:t>
            </w:r>
            <w:r>
              <w:rPr/>
              <w:t xml:space="preserve"> business was 1,397, as compared with nil in the first quarter of 2025.</w:t>
            </w:r>
          </w:p>
        </w:tc>
      </w:tr>
    </w:tbl>
    <w:p>
      <w:pPr>
        <w:pStyle w:val="TextBody"/>
        <w:bidi w:val="0"/>
        <w:spacing w:before="0" w:after="0"/>
        <w:ind w:left="1560" w:right="0" w:hanging="567"/>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1560" w:right="0" w:hanging="5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Average MAU in the first quarter from </w:t>
            </w:r>
            <w:r>
              <w:rPr>
                <w:i/>
              </w:rPr>
              <w:t>GlocalMe MeowGo</w:t>
            </w:r>
            <w:r>
              <w:rPr/>
              <w:t xml:space="preserve"> business was 577,888, representing a decrease of 7.3% from 623,271 in the first quarter of 2025.</w:t>
            </w:r>
          </w:p>
        </w:tc>
      </w:tr>
    </w:tbl>
    <w:p>
      <w:pPr>
        <w:pStyle w:val="TextBody"/>
        <w:bidi w:val="0"/>
        <w:spacing w:before="0" w:after="0"/>
        <w:ind w:left="980" w:right="0" w:hanging="49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As a proportion of daily active terminals, 58.6% were from uCloudlink 1.0 international data connectivity services and 41.4% were from uCloudlink 2.0 local data connectivity services during the first quarter of 2026. Average daily data usage per terminal was 1.57 GB in March 2026.</w:t>
            </w:r>
          </w:p>
        </w:tc>
      </w:tr>
    </w:tbl>
    <w:p>
      <w:pPr>
        <w:pStyle w:val="TextBody"/>
        <w:bidi w:val="0"/>
        <w:spacing w:before="0" w:after="0"/>
        <w:ind w:left="980" w:right="0" w:hanging="49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Average daily active terminals (“DAT”) in the first quarter were 327,615 (13,414 owned by the Company and 314,201 not owned by the Company), representing an increase of 6.1% from 308,863 in the first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 xml:space="preserve">Average DAT in the first quarter from </w:t>
            </w:r>
            <w:r>
              <w:rPr>
                <w:i/>
              </w:rPr>
              <w:t>GlocalMe</w:t>
            </w:r>
            <w:r>
              <w:rPr/>
              <w:t xml:space="preserve"> IoT business was 34,207, representing an increase of 432.3% from 6,426 in the first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 xml:space="preserve">Average DAT in the first quarter from </w:t>
            </w:r>
            <w:r>
              <w:rPr>
                <w:i/>
              </w:rPr>
              <w:t>GlocalMe</w:t>
            </w:r>
            <w:r>
              <w:rPr/>
              <w:t xml:space="preserve"> SIM business was 9,142, representing an increase of 75.2% from 5,219 in the first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 xml:space="preserve">Average DAT in the first quarter from </w:t>
            </w:r>
            <w:r>
              <w:rPr>
                <w:i/>
              </w:rPr>
              <w:t>GlocalMe</w:t>
            </w:r>
            <w:r>
              <w:rPr/>
              <w:t xml:space="preserve"> Life business was 7,280, representing an increase of 1,072.3% from 621 in the first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 xml:space="preserve">Average DAT in the first quarter from </w:t>
            </w:r>
            <w:r>
              <w:rPr>
                <w:i/>
              </w:rPr>
              <w:t>PetPhone</w:t>
            </w:r>
            <w:r>
              <w:rPr/>
              <w:t xml:space="preserve"> business was 368, as compared with nil in the first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 xml:space="preserve">Average DAT in the first quarter from </w:t>
            </w:r>
            <w:r>
              <w:rPr>
                <w:i/>
              </w:rPr>
              <w:t>GlocalMe MeowGo</w:t>
            </w:r>
            <w:r>
              <w:rPr/>
              <w:t xml:space="preserve"> business was 276,618, representing a decrease of 6.7% from 296,597 in the first quarter of 2025.</w:t>
            </w:r>
          </w:p>
        </w:tc>
      </w:tr>
    </w:tbl>
    <w:p>
      <w:pPr>
        <w:pStyle w:val="TextBody"/>
        <w:bidi w:val="0"/>
        <w:spacing w:before="0" w:after="0"/>
        <w:ind w:left="980" w:right="0" w:hanging="49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Average monthly active terminals (“MAT”) in the first quarter were 702,805, representing an increase of 7.7% from 652,810 in the first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 xml:space="preserve">Average MAT in the first quarter from </w:t>
            </w:r>
            <w:r>
              <w:rPr>
                <w:i/>
              </w:rPr>
              <w:t>GlocalMe</w:t>
            </w:r>
            <w:r>
              <w:rPr/>
              <w:t xml:space="preserve"> IoT business was 59,338, representing an increase of 135.0% from 25,253 in the first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 xml:space="preserve">Average MAT in the first quarter from </w:t>
            </w:r>
            <w:r>
              <w:rPr>
                <w:i/>
              </w:rPr>
              <w:t>GlocalMe</w:t>
            </w:r>
            <w:r>
              <w:rPr/>
              <w:t xml:space="preserve"> SIM business was 61,814, representing an increase of 74.1% from 35,505 in the first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 xml:space="preserve">Average MAT in the first quarter from </w:t>
            </w:r>
            <w:r>
              <w:rPr>
                <w:i/>
              </w:rPr>
              <w:t>GlocalMe</w:t>
            </w:r>
            <w:r>
              <w:rPr/>
              <w:t xml:space="preserve"> Life business was 14,770, representing an increase of 806.1% from 1,630 in the first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 xml:space="preserve">Average MAT in the first quarter from </w:t>
            </w:r>
            <w:r>
              <w:rPr>
                <w:i/>
              </w:rPr>
              <w:t>PetPhone</w:t>
            </w:r>
            <w:r>
              <w:rPr/>
              <w:t xml:space="preserve"> business was 789, as compared with nil in the first quarter of 2025.</w:t>
            </w:r>
          </w:p>
        </w:tc>
      </w:tr>
    </w:tbl>
    <w:p>
      <w:pPr>
        <w:pStyle w:val="TextBody"/>
        <w:bidi w:val="0"/>
        <w:spacing w:before="0" w:after="0"/>
        <w:ind w:left="1560"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 xml:space="preserve">Average MAT in the first quarter from </w:t>
            </w:r>
            <w:r>
              <w:rPr>
                <w:i/>
              </w:rPr>
              <w:t>GlocalMe MeowGo</w:t>
            </w:r>
            <w:r>
              <w:rPr/>
              <w:t xml:space="preserve"> business was 566,094, representing a decrease of 4.1% from 590,422 in the first quarter of 2025.</w:t>
            </w:r>
          </w:p>
        </w:tc>
      </w:tr>
    </w:tbl>
    <w:p>
      <w:pPr>
        <w:pStyle w:val="TextBody"/>
        <w:bidi w:val="0"/>
        <w:spacing w:before="0" w:after="0"/>
        <w:ind w:left="980" w:right="0" w:hanging="49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As of March 31, 2026, the Company had served 3,234 business partners in 64 countries and regions. The Company had 212 patents with 183 approved and 29 pending approval, while the pool of SIM cards was from 397 MNOs globally as of March 31,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Chaohui Chen, Director and Chief Executive Officer of UCLOUDLINK, commented, “Our results for the first quarter of 2026 demonstrate the underlying resilience of our core business. We successfully navigated a complex and volatile global landscape, characterized by ongoing geopolitical tensions and conflict-related logistical disruptions that pressured consumer sentiment, maintaining strict operational discipline throughout to offset these headwinds. As a result, total revenues were US$16.9 million during the quarter, at the high end of our guidance range.”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6" w:space="1" w:color="000000"/>
        </w:rPr>
      </w:pPr>
      <w:r>
        <w:rPr>
          <w:sz w:val="20"/>
          <w:bdr w:val="single" w:sz="16"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Crucially, our three new growth engines - </w:t>
      </w:r>
      <w:r>
        <w:rPr>
          <w:rFonts w:ascii="Times New Roman;Times;Serif" w:hAnsi="Times New Roman;Times;Serif"/>
          <w:b w:val="false"/>
          <w:i/>
          <w:caps w:val="false"/>
          <w:smallCaps w:val="false"/>
          <w:sz w:val="20"/>
        </w:rPr>
        <w:t>GlocalMe</w:t>
      </w:r>
      <w:r>
        <w:rPr>
          <w:rFonts w:ascii="Times New Roman;Times;Serif" w:hAnsi="Times New Roman;Times;Serif"/>
          <w:b w:val="false"/>
          <w:i w:val="false"/>
          <w:caps w:val="false"/>
          <w:smallCaps w:val="false"/>
          <w:sz w:val="20"/>
        </w:rPr>
        <w:t xml:space="preserve"> Life, </w:t>
      </w:r>
      <w:r>
        <w:rPr>
          <w:rFonts w:ascii="Times New Roman;Times;Serif" w:hAnsi="Times New Roman;Times;Serif"/>
          <w:b w:val="false"/>
          <w:i/>
          <w:caps w:val="false"/>
          <w:smallCaps w:val="false"/>
          <w:sz w:val="20"/>
        </w:rPr>
        <w:t>GlocalMe</w:t>
      </w:r>
      <w:r>
        <w:rPr>
          <w:rFonts w:ascii="Times New Roman;Times;Serif" w:hAnsi="Times New Roman;Times;Serif"/>
          <w:b w:val="false"/>
          <w:i w:val="false"/>
          <w:caps w:val="false"/>
          <w:smallCaps w:val="false"/>
          <w:sz w:val="20"/>
        </w:rPr>
        <w:t xml:space="preserve"> IoT, and </w:t>
      </w:r>
      <w:r>
        <w:rPr>
          <w:rFonts w:ascii="Times New Roman;Times;Serif" w:hAnsi="Times New Roman;Times;Serif"/>
          <w:b w:val="false"/>
          <w:i/>
          <w:caps w:val="false"/>
          <w:smallCaps w:val="false"/>
          <w:sz w:val="20"/>
        </w:rPr>
        <w:t>GlocalMe</w:t>
      </w:r>
      <w:r>
        <w:rPr>
          <w:rFonts w:ascii="Times New Roman;Times;Serif" w:hAnsi="Times New Roman;Times;Serif"/>
          <w:b w:val="false"/>
          <w:i w:val="false"/>
          <w:caps w:val="false"/>
          <w:smallCaps w:val="false"/>
          <w:sz w:val="20"/>
        </w:rPr>
        <w:t xml:space="preserve"> SIM - delivered remarkable year-over-year revenue growth of over 400%, 300%, and 170%, respectively. To accelerate commercialization and capture early market leadership, we strategically increased marketing spending on the </w:t>
      </w:r>
      <w:r>
        <w:rPr>
          <w:rFonts w:ascii="Times New Roman;Times;Serif" w:hAnsi="Times New Roman;Times;Serif"/>
          <w:b w:val="false"/>
          <w:i/>
          <w:caps w:val="false"/>
          <w:smallCaps w:val="false"/>
          <w:sz w:val="20"/>
        </w:rPr>
        <w:t>PetPhone</w:t>
      </w:r>
      <w:r>
        <w:rPr>
          <w:rFonts w:ascii="Times New Roman;Times;Serif" w:hAnsi="Times New Roman;Times;Serif"/>
          <w:b w:val="false"/>
          <w:i w:val="false"/>
          <w:caps w:val="false"/>
          <w:smallCaps w:val="false"/>
          <w:sz w:val="20"/>
        </w:rPr>
        <w:t xml:space="preserve"> and broader </w:t>
      </w:r>
      <w:r>
        <w:rPr>
          <w:rFonts w:ascii="Times New Roman;Times;Serif" w:hAnsi="Times New Roman;Times;Serif"/>
          <w:b w:val="false"/>
          <w:i/>
          <w:caps w:val="false"/>
          <w:smallCaps w:val="false"/>
          <w:sz w:val="20"/>
        </w:rPr>
        <w:t>PetPogo</w:t>
      </w:r>
      <w:r>
        <w:rPr>
          <w:rFonts w:ascii="Times New Roman;Times;Serif" w:hAnsi="Times New Roman;Times;Serif"/>
          <w:b w:val="false"/>
          <w:i w:val="false"/>
          <w:caps w:val="false"/>
          <w:smallCaps w:val="false"/>
          <w:sz w:val="20"/>
        </w:rPr>
        <w:t xml:space="preserve"> ecosystem. While these investments temper near-term profitability and cash flow, we are confident they will yield substantial long-term payoffs and help lay a solid foundation to drive growth. This forward-looking strategy is already beginning to generate results with our </w:t>
      </w:r>
      <w:r>
        <w:rPr>
          <w:rFonts w:ascii="Times New Roman;Times;Serif" w:hAnsi="Times New Roman;Times;Serif"/>
          <w:b w:val="false"/>
          <w:i/>
          <w:caps w:val="false"/>
          <w:smallCaps w:val="false"/>
          <w:sz w:val="20"/>
        </w:rPr>
        <w:t>GlocalMe</w:t>
      </w:r>
      <w:r>
        <w:rPr>
          <w:rFonts w:ascii="Times New Roman;Times;Serif" w:hAnsi="Times New Roman;Times;Serif"/>
          <w:b w:val="false"/>
          <w:i w:val="false"/>
          <w:caps w:val="false"/>
          <w:smallCaps w:val="false"/>
          <w:sz w:val="20"/>
        </w:rPr>
        <w:t xml:space="preserve"> IoT business gaining strong revenue growth momentum with rapid user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Each new growth engine also made significant strategic progress in laying the groundwork for accelerated commercial momentum going forward. Following the exceptional global media attention and market validation at CES 2026 in Las Vegas, where we unveiled our </w:t>
      </w:r>
      <w:r>
        <w:rPr>
          <w:rFonts w:ascii="Times New Roman;Times;Serif" w:hAnsi="Times New Roman;Times;Serif"/>
          <w:b w:val="false"/>
          <w:i/>
          <w:caps w:val="false"/>
          <w:smallCaps w:val="false"/>
          <w:sz w:val="20"/>
        </w:rPr>
        <w:t>PetPogo</w:t>
      </w:r>
      <w:r>
        <w:rPr>
          <w:rFonts w:ascii="Times New Roman;Times;Serif" w:hAnsi="Times New Roman;Times;Serif"/>
          <w:b w:val="false"/>
          <w:i w:val="false"/>
          <w:caps w:val="false"/>
          <w:smallCaps w:val="false"/>
          <w:sz w:val="20"/>
        </w:rPr>
        <w:t xml:space="preserve"> ecosystem and the all-new </w:t>
      </w:r>
      <w:r>
        <w:rPr>
          <w:rFonts w:ascii="Times New Roman;Times;Serif" w:hAnsi="Times New Roman;Times;Serif"/>
          <w:b w:val="false"/>
          <w:i/>
          <w:caps w:val="false"/>
          <w:smallCaps w:val="false"/>
          <w:sz w:val="20"/>
        </w:rPr>
        <w:t>PetCam</w:t>
      </w:r>
      <w:r>
        <w:rPr>
          <w:rFonts w:ascii="Times New Roman;Times;Serif" w:hAnsi="Times New Roman;Times;Serif"/>
          <w:b w:val="false"/>
          <w:i w:val="false"/>
          <w:caps w:val="false"/>
          <w:smallCaps w:val="false"/>
          <w:sz w:val="20"/>
        </w:rPr>
        <w:t xml:space="preserve">, we are leveraging this momentum to strengthen our positioning and brand equity as we advance toward full-scale commercialization. During the quarter, we launched the beta version of the </w:t>
      </w:r>
      <w:r>
        <w:rPr>
          <w:rFonts w:ascii="Times New Roman;Times;Serif" w:hAnsi="Times New Roman;Times;Serif"/>
          <w:b w:val="false"/>
          <w:i/>
          <w:caps w:val="false"/>
          <w:smallCaps w:val="false"/>
          <w:sz w:val="20"/>
        </w:rPr>
        <w:t>PetPogo</w:t>
      </w:r>
      <w:r>
        <w:rPr>
          <w:rFonts w:ascii="Times New Roman;Times;Serif" w:hAnsi="Times New Roman;Times;Serif"/>
          <w:b w:val="false"/>
          <w:i w:val="false"/>
          <w:caps w:val="false"/>
          <w:smallCaps w:val="false"/>
          <w:sz w:val="20"/>
        </w:rPr>
        <w:t xml:space="preserve"> app, pioneering an ‘AI-powered + Social’ model in the pet technology industry. Leveraging </w:t>
      </w:r>
      <w:r>
        <w:rPr>
          <w:rFonts w:ascii="Times New Roman;Times;Serif" w:hAnsi="Times New Roman;Times;Serif"/>
          <w:b w:val="false"/>
          <w:i/>
          <w:caps w:val="false"/>
          <w:smallCaps w:val="false"/>
          <w:sz w:val="20"/>
        </w:rPr>
        <w:t>PetPhone</w:t>
      </w:r>
      <w:r>
        <w:rPr>
          <w:rFonts w:ascii="Times New Roman;Times;Serif" w:hAnsi="Times New Roman;Times;Serif"/>
          <w:b w:val="false"/>
          <w:i w:val="false"/>
          <w:caps w:val="false"/>
          <w:smallCaps w:val="false"/>
          <w:sz w:val="20"/>
        </w:rPr>
        <w:t xml:space="preserve">’s AI-driven hardware to sense and interpret pet data, we are addressing the fundamental communication gap between owners and their pets. The </w:t>
      </w:r>
      <w:r>
        <w:rPr>
          <w:rFonts w:ascii="Times New Roman;Times;Serif" w:hAnsi="Times New Roman;Times;Serif"/>
          <w:b w:val="false"/>
          <w:i/>
          <w:caps w:val="false"/>
          <w:smallCaps w:val="false"/>
          <w:sz w:val="20"/>
        </w:rPr>
        <w:t>PetPogo</w:t>
      </w:r>
      <w:r>
        <w:rPr>
          <w:rFonts w:ascii="Times New Roman;Times;Serif" w:hAnsi="Times New Roman;Times;Serif"/>
          <w:b w:val="false"/>
          <w:i w:val="false"/>
          <w:caps w:val="false"/>
          <w:smallCaps w:val="false"/>
          <w:sz w:val="20"/>
        </w:rPr>
        <w:t xml:space="preserve"> ecosystem reimagines the pet social experience with a unique ‘Pet-Centric’ community and ‘Pet Moments’ feature, establishing a highly engaging emotional bridge between humans and pets, among pets themselves, and across pet owner communities which will drive deeper engagement and more meaningful, lasting connections. Early beta feedback has been overwhelmingly positive, reinforcing our confidence in its user adoption and growth potential. Under </w:t>
      </w:r>
      <w:r>
        <w:rPr>
          <w:rFonts w:ascii="Times New Roman;Times;Serif" w:hAnsi="Times New Roman;Times;Serif"/>
          <w:b w:val="false"/>
          <w:i/>
          <w:caps w:val="false"/>
          <w:smallCaps w:val="false"/>
          <w:sz w:val="20"/>
        </w:rPr>
        <w:t>GlocalMe</w:t>
      </w:r>
      <w:r>
        <w:rPr>
          <w:rFonts w:ascii="Times New Roman;Times;Serif" w:hAnsi="Times New Roman;Times;Serif"/>
          <w:b w:val="false"/>
          <w:i w:val="false"/>
          <w:caps w:val="false"/>
          <w:smallCaps w:val="false"/>
          <w:sz w:val="20"/>
        </w:rPr>
        <w:t xml:space="preserve"> Life, our </w:t>
      </w:r>
      <w:r>
        <w:rPr>
          <w:rFonts w:ascii="Times New Roman;Times;Serif" w:hAnsi="Times New Roman;Times;Serif"/>
          <w:b w:val="false"/>
          <w:i/>
          <w:caps w:val="false"/>
          <w:smallCaps w:val="false"/>
          <w:sz w:val="20"/>
        </w:rPr>
        <w:t>UniCord Pro</w:t>
      </w:r>
      <w:r>
        <w:rPr>
          <w:rFonts w:ascii="Times New Roman;Times;Serif" w:hAnsi="Times New Roman;Times;Serif"/>
          <w:b w:val="false"/>
          <w:i w:val="false"/>
          <w:caps w:val="false"/>
          <w:smallCaps w:val="false"/>
          <w:sz w:val="20"/>
        </w:rPr>
        <w:t xml:space="preserve"> continues to gain strong traction, with sales volume and market adoption accelerating rapidly. </w:t>
      </w:r>
      <w:r>
        <w:rPr>
          <w:rFonts w:ascii="Times New Roman;Times;Serif" w:hAnsi="Times New Roman;Times;Serif"/>
          <w:b w:val="false"/>
          <w:i/>
          <w:caps w:val="false"/>
          <w:smallCaps w:val="false"/>
          <w:sz w:val="20"/>
        </w:rPr>
        <w:t>MeowGo G50 Max</w:t>
      </w:r>
      <w:r>
        <w:rPr>
          <w:rFonts w:ascii="Times New Roman;Times;Serif" w:hAnsi="Times New Roman;Times;Serif"/>
          <w:b w:val="false"/>
          <w:i w:val="false"/>
          <w:caps w:val="false"/>
          <w:smallCaps w:val="false"/>
          <w:sz w:val="20"/>
        </w:rPr>
        <w:t xml:space="preserve">, a premium, sky-to-ground integrated mobile Wi-Fi hub, also drew significant market attention during the quarter. In markets where terrestrial networks have been disrupted due to conflict, the </w:t>
      </w:r>
      <w:r>
        <w:rPr>
          <w:rFonts w:ascii="Times New Roman;Times;Serif" w:hAnsi="Times New Roman;Times;Serif"/>
          <w:b w:val="false"/>
          <w:i/>
          <w:caps w:val="false"/>
          <w:smallCaps w:val="false"/>
          <w:sz w:val="20"/>
        </w:rPr>
        <w:t>MeowGo G50 Max</w:t>
      </w:r>
      <w:r>
        <w:rPr>
          <w:rFonts w:ascii="Times New Roman;Times;Serif" w:hAnsi="Times New Roman;Times;Serif"/>
          <w:b w:val="false"/>
          <w:i w:val="false"/>
          <w:caps w:val="false"/>
          <w:smallCaps w:val="false"/>
          <w:sz w:val="20"/>
        </w:rPr>
        <w:t xml:space="preserve">’s unique ability to provide resilient connectivity is proving to be a critical differentiator. Our </w:t>
      </w:r>
      <w:r>
        <w:rPr>
          <w:rFonts w:ascii="Times New Roman;Times;Serif" w:hAnsi="Times New Roman;Times;Serif"/>
          <w:b w:val="false"/>
          <w:i/>
          <w:caps w:val="false"/>
          <w:smallCaps w:val="false"/>
          <w:sz w:val="20"/>
        </w:rPr>
        <w:t>GlocalMe</w:t>
      </w:r>
      <w:r>
        <w:rPr>
          <w:rFonts w:ascii="Times New Roman;Times;Serif" w:hAnsi="Times New Roman;Times;Serif"/>
          <w:b w:val="false"/>
          <w:i w:val="false"/>
          <w:caps w:val="false"/>
          <w:smallCaps w:val="false"/>
          <w:sz w:val="20"/>
        </w:rPr>
        <w:t xml:space="preserve"> IoT business maintained its strong growth trajectory, with user adoption and revenue contribution continuing to expand rapidly year-over-year. We continue to solidify our strategic position to capture additional market share in high-growth sectors such as in-car infotainment and security cameras.”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Looking ahead, we remain in the early, high-growth stages of our transformation. Throughout 2026, we will continue investing strategically in our new growth engines. The strong market validation from CES 2026, positive </w:t>
      </w:r>
      <w:r>
        <w:rPr>
          <w:rFonts w:ascii="Times New Roman;Times;Serif" w:hAnsi="Times New Roman;Times;Serif"/>
          <w:b w:val="false"/>
          <w:i/>
          <w:caps w:val="false"/>
          <w:smallCaps w:val="false"/>
          <w:sz w:val="20"/>
        </w:rPr>
        <w:t>PetPogo</w:t>
      </w:r>
      <w:r>
        <w:rPr>
          <w:rFonts w:ascii="Times New Roman;Times;Serif" w:hAnsi="Times New Roman;Times;Serif"/>
          <w:b w:val="false"/>
          <w:i w:val="false"/>
          <w:caps w:val="false"/>
          <w:smallCaps w:val="false"/>
          <w:sz w:val="20"/>
        </w:rPr>
        <w:t xml:space="preserve"> beta feedback, and sustained momentum in </w:t>
      </w:r>
      <w:r>
        <w:rPr>
          <w:rFonts w:ascii="Times New Roman;Times;Serif" w:hAnsi="Times New Roman;Times;Serif"/>
          <w:b w:val="false"/>
          <w:i/>
          <w:caps w:val="false"/>
          <w:smallCaps w:val="false"/>
          <w:sz w:val="20"/>
        </w:rPr>
        <w:t>GlocalMe</w:t>
      </w:r>
      <w:r>
        <w:rPr>
          <w:rFonts w:ascii="Times New Roman;Times;Serif" w:hAnsi="Times New Roman;Times;Serif"/>
          <w:b w:val="false"/>
          <w:i w:val="false"/>
          <w:caps w:val="false"/>
          <w:smallCaps w:val="false"/>
          <w:sz w:val="20"/>
        </w:rPr>
        <w:t xml:space="preserve"> IoT demonstrate how our diversified business strategy remains firmly on track. We are building toward sustainable growth by scaling our user base globally and bridging the digital divides in cross-border connectivity as well as the emotional distance between people and their pets, while creating long-term value for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were US$16.9 million, representing a decrease of 10.1% from US$18.7 million in the same period of 2025.</w:t>
      </w:r>
    </w:p>
    <w:p>
      <w:pPr>
        <w:pStyle w:val="TextBody"/>
        <w:bidi w:val="0"/>
        <w:spacing w:before="0" w:after="0"/>
        <w:ind w:left="980" w:right="0" w:hanging="49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rPr>
              <w:t>Revenues from services</w:t>
            </w:r>
            <w:r>
              <w:rPr/>
              <w:t xml:space="preserve"> were US$13.3 million, representing a decrease of 6.3% from US$14.2 million in the same period of 2025. This decrease was primarily attributable to the decrease in revenues from international data connectivity services.</w:t>
            </w:r>
          </w:p>
        </w:tc>
      </w:tr>
    </w:tbl>
    <w:p>
      <w:pPr>
        <w:pStyle w:val="TextBody"/>
        <w:bidi w:val="0"/>
        <w:spacing w:before="0" w:after="0"/>
        <w:ind w:left="1470"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b/>
              </w:rPr>
              <w:t>Revenues from data connectivity services</w:t>
            </w:r>
            <w:r>
              <w:rPr/>
              <w:t xml:space="preserve"> were US$10.4 million, representing a decrease of 6.5% from US$11.2 million in the same period of 2025. This decrease was primarily attributable to a decrease in revenues from international data connectivity services to US$8.5 million in the first quarter of 2026 from US$9.7 million in the same period of 2025, primarily due to the decline in outbound travelers from China, against the backdrop of a volatile and tense international situation, which was partially offset by an increase in revenues from local data connectivity services to US$1.9 million in the first quarter of 2026 from US$1.5 million in the same period of 2025, as a result of the continued development of </w:t>
            </w:r>
            <w:r>
              <w:rPr>
                <w:i/>
              </w:rPr>
              <w:t>GlocalMe</w:t>
            </w:r>
            <w:r>
              <w:rPr/>
              <w:t xml:space="preserve"> IoT business.</w:t>
            </w:r>
          </w:p>
        </w:tc>
      </w:tr>
    </w:tbl>
    <w:p>
      <w:pPr>
        <w:pStyle w:val="TextBody"/>
        <w:bidi w:val="0"/>
        <w:spacing w:before="0" w:after="0"/>
        <w:ind w:left="1470"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b/>
              </w:rPr>
              <w:t>Revenues from PaaS and SaaS services</w:t>
            </w:r>
            <w:r>
              <w:rPr/>
              <w:t xml:space="preserve"> were US$2.5 million, representing a decrease of 9.7% from US$2.7 million in the same period of 2025.</w:t>
            </w:r>
          </w:p>
        </w:tc>
      </w:tr>
    </w:tbl>
    <w:p>
      <w:pPr>
        <w:pStyle w:val="TextBody"/>
        <w:bidi w:val="0"/>
        <w:spacing w:before="0" w:after="0"/>
        <w:ind w:left="980"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b/>
              </w:rPr>
              <w:t>Revenues from sales of products</w:t>
            </w:r>
            <w:r>
              <w:rPr/>
              <w:t xml:space="preserve"> were US$3.6 million, representing a decrease of 21.8% from US$4.5 million in the same period of 2025, primarily due to a decrease of US$0.9 million in sales of terminals.</w:t>
            </w:r>
          </w:p>
        </w:tc>
      </w:tr>
    </w:tbl>
    <w:p>
      <w:pPr>
        <w:pStyle w:val="TextBody"/>
        <w:bidi w:val="0"/>
        <w:spacing w:before="0" w:after="0"/>
        <w:ind w:left="980" w:right="0" w:hanging="49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638"/>
        <w:gridCol w:w="9425"/>
      </w:tblGrid>
      <w:tr>
        <w:trPr/>
        <w:tc>
          <w:tcPr>
            <w:tcW w:w="14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both"/>
              <w:rPr/>
            </w:pPr>
            <w:r>
              <w:rPr/>
              <w:t>●</w:t>
            </w:r>
          </w:p>
        </w:tc>
        <w:tc>
          <w:tcPr>
            <w:tcW w:w="9425" w:type="dxa"/>
            <w:tcBorders/>
            <w:vAlign w:val="center"/>
          </w:tcPr>
          <w:p>
            <w:pPr>
              <w:pStyle w:val="TableContents"/>
              <w:bidi w:val="0"/>
              <w:spacing w:before="0" w:after="283"/>
              <w:jc w:val="both"/>
              <w:rPr>
                <w:b/>
              </w:rPr>
            </w:pPr>
            <w:r>
              <w:rPr>
                <w:b/>
              </w:rPr>
              <w:t>Geographic Distribution</w:t>
            </w:r>
          </w:p>
        </w:tc>
      </w:tr>
    </w:tbl>
    <w:p>
      <w:pPr>
        <w:pStyle w:val="TextBody"/>
        <w:bidi w:val="0"/>
        <w:spacing w:before="0" w:after="0"/>
        <w:ind w:left="9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2026, as a percentage of our total revenues, Japan contributed 32.0%, mainland China contributed 30.3%, North America contributed 17.3%, and other countries and regions contributed the remaining 20.4%, compared to 40.4%, 31.2%, 12.9% and 15.5%, respectively, in the first quarter of 2025.</w:t>
      </w:r>
    </w:p>
    <w:p>
      <w:pPr>
        <w:pStyle w:val="TextBody"/>
        <w:bidi w:val="0"/>
        <w:spacing w:before="0" w:after="0"/>
        <w:ind w:left="980" w:right="0" w:hanging="0"/>
        <w:jc w:val="left"/>
        <w:rPr>
          <w:caps w:val="false"/>
          <w:smallCaps w:val="false"/>
        </w:rPr>
      </w:pPr>
      <w:r>
        <w:rPr>
          <w:caps w:val="false"/>
          <w:smallCaps w:val="false"/>
        </w:rPr>
        <w:t> </w:t>
      </w:r>
    </w:p>
    <w:p>
      <w:pPr>
        <w:pStyle w:val="TextBody"/>
        <w:bidi w:val="0"/>
        <w:spacing w:before="0" w:after="0"/>
        <w:ind w:left="980" w:right="0" w:hanging="0"/>
        <w:jc w:val="center"/>
        <w:rPr>
          <w:sz w:val="20"/>
          <w:bdr w:val="single" w:sz="16" w:space="1" w:color="000000"/>
        </w:rPr>
      </w:pPr>
      <w:r>
        <w:rPr>
          <w:sz w:val="20"/>
          <w:bdr w:val="single" w:sz="16" w:space="1" w:color="000000"/>
        </w:rPr>
        <w:t>3</w:t>
      </w:r>
    </w:p>
    <w:p>
      <w:pPr>
        <w:pStyle w:val="TextBody"/>
        <w:bidi w:val="0"/>
        <w:spacing w:before="0" w:after="0"/>
        <w:ind w:left="0" w:right="0" w:hanging="0"/>
        <w:jc w:val="left"/>
        <w:rPr/>
      </w:pPr>
      <w:r>
        <w:rPr/>
        <w:t> </w:t>
      </w:r>
    </w:p>
    <w:p>
      <w:pPr>
        <w:pStyle w:val="TextBody"/>
        <w:bidi w:val="0"/>
        <w:spacing w:before="0" w:after="0"/>
        <w:ind w:left="9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was US$8.6 million, representing a decrease of 5.2% from US$9.0 million in the same period of 2025. This decrease was mainly attributable to the decrease in cost of products sold.</w:t>
      </w:r>
    </w:p>
    <w:p>
      <w:pPr>
        <w:pStyle w:val="TextBody"/>
        <w:bidi w:val="0"/>
        <w:spacing w:before="0" w:after="0"/>
        <w:ind w:left="980"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b/>
              </w:rPr>
              <w:t>Cost of services</w:t>
            </w:r>
            <w:r>
              <w:rPr/>
              <w:t xml:space="preserve"> was US$6.1 million, representing a slight decrease of 0.2% compared to the same period of 2025.</w:t>
            </w:r>
          </w:p>
        </w:tc>
      </w:tr>
    </w:tbl>
    <w:p>
      <w:pPr>
        <w:pStyle w:val="TextBody"/>
        <w:bidi w:val="0"/>
        <w:spacing w:before="0" w:after="0"/>
        <w:ind w:left="980" w:right="0" w:hanging="49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rPr>
              <w:t>Cost of products sold</w:t>
            </w:r>
            <w:r>
              <w:rPr/>
              <w:t xml:space="preserve"> was US$2.5 million, representing a decrease of 15.3% from US$2.9 million in the same period of 2025, consistent with the decrease in product sales.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gross profit was US$8.3 million, compared to US$9.7 million in the same period of 2025. Overall gross margin was 49.1% in the first quarter of 2026, compared to 51.7%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on services was US$7.2 million, compared to US$8.1 million in the same period of 2025. Gross margin on services was 54.5% in the first quarter of 2026, compared to 57.3%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on sales of products was US$1.1 million, compared to US$1.6 million in the same period of 2025. Gross margin on sales of products was 28.9% in the first quarter of 2026, compared to 34.3%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were US$10.9 million, compared to US$10.2 million in the same period of 2025.</w:t>
      </w:r>
    </w:p>
    <w:p>
      <w:pPr>
        <w:pStyle w:val="TextBody"/>
        <w:bidi w:val="0"/>
        <w:spacing w:before="0" w:after="0"/>
        <w:ind w:left="980"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b/>
              </w:rPr>
              <w:t>Research and development expenses</w:t>
            </w:r>
            <w:r>
              <w:rPr/>
              <w:t xml:space="preserve"> were US$1.6 million, representing an increase of 16.4% from US$1.4 million in the same period of 2025. This increase was mainly due to an increase of US$0.3 million in staff costs.</w:t>
            </w:r>
          </w:p>
        </w:tc>
      </w:tr>
    </w:tbl>
    <w:p>
      <w:pPr>
        <w:pStyle w:val="TextBody"/>
        <w:bidi w:val="0"/>
        <w:spacing w:before="0" w:after="0"/>
        <w:ind w:left="980" w:right="0" w:hanging="49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rPr>
              <w:t>Sales and marketing expenses</w:t>
            </w:r>
            <w:r>
              <w:rPr/>
              <w:t xml:space="preserve"> were US$6.4 million, representing an increase of 12.2% from US$5.7 million in the same period of 2025. This increase was primarily due to increases of US$0.3 million in operating lease payments, US$0.3 million in employee benefit expenses and US$0.1 million in exhibition expenses.</w:t>
            </w:r>
          </w:p>
        </w:tc>
      </w:tr>
    </w:tbl>
    <w:p>
      <w:pPr>
        <w:pStyle w:val="TextBody"/>
        <w:bidi w:val="0"/>
        <w:spacing w:before="0" w:after="0"/>
        <w:ind w:left="980" w:right="0" w:hanging="49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rPr>
              <w:t>General and administrative expenses</w:t>
            </w:r>
            <w:r>
              <w:rPr/>
              <w:t xml:space="preserve"> were US$2.9 million, representing a decrease of 6.6% from US$3.1 million in the same period of 2025. This decrease was primarily attributable to a decrease of US$0.7 million in bad debt provisions, which was partially offset by an increase of US$0.3 million in testing fees.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 was US$3.5 million, compared to US$0.5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 (Non-GAAP)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(Non-GAAP), which excludes the impact of share-based compensation, fair value gain/loss in other investments, share of profit/loss in equity method investment, net of tax, interest expense, income tax expenses and depreciation and amortization, was negative US$2.0 million, compared to positive US$1.4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6" w:space="1" w:color="000000"/>
        </w:rPr>
      </w:pPr>
      <w:r>
        <w:rPr>
          <w:sz w:val="20"/>
          <w:bdr w:val="single" w:sz="16"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Interest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interest expenses remained at US$0.05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US$3.5 million, compared to US$0.6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Net Loss/Income (Non-GAAP)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loss, which excludes the impact of share-based compensation, fair value gain/loss in other investments and share of profit/loss in equity method investment, net of tax, was US$2.6 million, compared to an adjusted net income of US$0.4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Basic and Diluted Loss per 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 per ADS attributable to ordinary shareholders were US$0.09 in the first quarter of 2026, compared to US$0.02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cash and cash equivalents of US$28.0 million, compared to US$32.8 million as of December 31, 2025. The decrease was primarily attributable to a net outflow of US$8.7 million from operations and repayments of US$1.3 million for bank borrowings, which were partially offset by proceeds of US$5.0 million from bank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Expenditures (“CAPEX”)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CAPEX was US$0.03 million, compared to US$0.3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second quarter of 2026, UCLOUDLINK expects total revenues to be between US$19.5 million and US$22.5 million, representing an increase of 0.5% to 16.0% compared to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outlook is based on current market conditions and reflects the Company’s preliminary estimates of market and operating conditions and customer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the financial measures prepared in accordance with generally accepted accounting principles in the United States, or GAAP, this press release presents, adjusted net income/(loss) and adjusted EBITDA, as supplemental measures to review and assess the Company’s operating performance. The presentation of these non-GAAP financial measures is not intended to be considered in isolation or as a substitute for the financial information prepared and presented in accordance with U.S. GAAP. Adjusted net income/(loss) is defined as net income/(loss) excluding share-based compensation, fair value gain/loss in other investments and share of profit/loss in equity method investment, net of tax. Adjusted EBITDA is defined as net income/(loss) excluding share-based compensation, fair value gain/loss in other investments, share of profit/loss in equity method investment, net of tax, interest expense, income tax expenses and depreciation and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adjusted net income/(loss) and adjusted EBITDA help identify underlying trends in its business that could otherwise be distorted by the effect of certain expenses that are included in income/(loss) from operations and net income/(loss). The Company believes that adjusted net income/(loss) and adjusted EBITDA provide useful information about its operating results, enhance the overall understanding of its past performance and future prospects and allow for greater visibility with respect to key metrics used by its management in its financial and operational decision-making.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measures are not defined under U.S. GAAP and are not presented in accordance with U.S. GAAP. The non- GAAP financial measures have limitations as analytical tools. One of the key limitations of using adjusted net income/(loss) and adjusted EBITDA is that they do not reflect all items of income and expense that affect the Company’s operations. Share-based compensation, fair value gain/loss in other investments and share of profit/loss in equity method investment, net of tax, have been and may continue to be incurred in the Company’s business and is not reflected in the presentation of adjusted net income/(loss). Further, the non-GAAP financial measures may differ from the non-GAAP information used by other companies, including peer companies, and therefore their comparability may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compensate for these limitations by reconciling the non-GAAP financial measure to the nearest U.S. GAAP performance measure, all of which should be considered when evaluating its performance. The Company encourages investors and others to review its financial information in its entirety and not rely on a single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each of these non-GAAP financial measures to the most directly comparable GAAP financial measure is set forth at the end of this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UCLOUDLINK will hold a conference call at 8:30 a.m. Eastern Time on Wednesday, May 13, 2026 (8:30 p.m. Beijing Time on the same day) to discuss financial results and answer questions from investors and analysts. Listeners may access the call by dialing:</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705"/>
        <w:gridCol w:w="1580"/>
      </w:tblGrid>
      <w:tr>
        <w:trPr/>
        <w:tc>
          <w:tcPr>
            <w:tcW w:w="2705" w:type="dxa"/>
            <w:tcBorders/>
            <w:vAlign w:val="center"/>
          </w:tcPr>
          <w:p>
            <w:pPr>
              <w:pStyle w:val="TableContents"/>
              <w:bidi w:val="0"/>
              <w:spacing w:before="0" w:after="283"/>
              <w:jc w:val="left"/>
              <w:rPr/>
            </w:pPr>
            <w:r>
              <w:rPr/>
              <w:t>International:</w:t>
            </w:r>
          </w:p>
        </w:tc>
        <w:tc>
          <w:tcPr>
            <w:tcW w:w="1580" w:type="dxa"/>
            <w:tcBorders/>
            <w:vAlign w:val="center"/>
          </w:tcPr>
          <w:p>
            <w:pPr>
              <w:pStyle w:val="TableContents"/>
              <w:bidi w:val="0"/>
              <w:spacing w:before="0" w:after="283"/>
              <w:jc w:val="left"/>
              <w:rPr/>
            </w:pPr>
            <w:r>
              <w:rPr/>
              <w:t>617-3145-4010</w:t>
            </w:r>
          </w:p>
        </w:tc>
      </w:tr>
      <w:tr>
        <w:trPr/>
        <w:tc>
          <w:tcPr>
            <w:tcW w:w="2705" w:type="dxa"/>
            <w:tcBorders/>
            <w:vAlign w:val="center"/>
          </w:tcPr>
          <w:p>
            <w:pPr>
              <w:pStyle w:val="TableContents"/>
              <w:bidi w:val="0"/>
              <w:spacing w:before="0" w:after="283"/>
              <w:jc w:val="left"/>
              <w:rPr/>
            </w:pPr>
            <w:r>
              <w:rPr/>
              <w:t>US/Canada (Toll Free):</w:t>
            </w:r>
          </w:p>
        </w:tc>
        <w:tc>
          <w:tcPr>
            <w:tcW w:w="1580" w:type="dxa"/>
            <w:tcBorders/>
            <w:vAlign w:val="center"/>
          </w:tcPr>
          <w:p>
            <w:pPr>
              <w:pStyle w:val="TableContents"/>
              <w:bidi w:val="0"/>
              <w:spacing w:before="0" w:after="283"/>
              <w:jc w:val="left"/>
              <w:rPr/>
            </w:pPr>
            <w:r>
              <w:rPr/>
              <w:t>1-855-881-1339</w:t>
            </w:r>
          </w:p>
        </w:tc>
      </w:tr>
      <w:tr>
        <w:trPr/>
        <w:tc>
          <w:tcPr>
            <w:tcW w:w="2705" w:type="dxa"/>
            <w:tcBorders/>
            <w:vAlign w:val="center"/>
          </w:tcPr>
          <w:p>
            <w:pPr>
              <w:pStyle w:val="TableContents"/>
              <w:bidi w:val="0"/>
              <w:spacing w:before="0" w:after="283"/>
              <w:jc w:val="left"/>
              <w:rPr/>
            </w:pPr>
            <w:r>
              <w:rPr/>
              <w:t>UK (Toll Free):</w:t>
            </w:r>
          </w:p>
        </w:tc>
        <w:tc>
          <w:tcPr>
            <w:tcW w:w="1580" w:type="dxa"/>
            <w:tcBorders/>
            <w:vAlign w:val="center"/>
          </w:tcPr>
          <w:p>
            <w:pPr>
              <w:pStyle w:val="TableContents"/>
              <w:bidi w:val="0"/>
              <w:spacing w:before="0" w:after="283"/>
              <w:jc w:val="left"/>
              <w:rPr/>
            </w:pPr>
            <w:r>
              <w:rPr/>
              <w:t>0-800-051-8245</w:t>
            </w:r>
          </w:p>
        </w:tc>
      </w:tr>
      <w:tr>
        <w:trPr/>
        <w:tc>
          <w:tcPr>
            <w:tcW w:w="2705" w:type="dxa"/>
            <w:tcBorders/>
            <w:vAlign w:val="center"/>
          </w:tcPr>
          <w:p>
            <w:pPr>
              <w:pStyle w:val="TableContents"/>
              <w:bidi w:val="0"/>
              <w:spacing w:before="0" w:after="283"/>
              <w:jc w:val="left"/>
              <w:rPr/>
            </w:pPr>
            <w:r>
              <w:rPr/>
              <w:t>Mainland China (Toll Free):</w:t>
            </w:r>
          </w:p>
        </w:tc>
        <w:tc>
          <w:tcPr>
            <w:tcW w:w="1580" w:type="dxa"/>
            <w:tcBorders/>
            <w:vAlign w:val="center"/>
          </w:tcPr>
          <w:p>
            <w:pPr>
              <w:pStyle w:val="TableContents"/>
              <w:bidi w:val="0"/>
              <w:spacing w:before="0" w:after="283"/>
              <w:jc w:val="left"/>
              <w:rPr/>
            </w:pPr>
            <w:r>
              <w:rPr/>
              <w:t>4001-200-659</w:t>
            </w:r>
          </w:p>
        </w:tc>
      </w:tr>
      <w:tr>
        <w:trPr/>
        <w:tc>
          <w:tcPr>
            <w:tcW w:w="2705" w:type="dxa"/>
            <w:tcBorders/>
            <w:vAlign w:val="center"/>
          </w:tcPr>
          <w:p>
            <w:pPr>
              <w:pStyle w:val="TableContents"/>
              <w:bidi w:val="0"/>
              <w:spacing w:before="0" w:after="283"/>
              <w:jc w:val="left"/>
              <w:rPr/>
            </w:pPr>
            <w:r>
              <w:rPr/>
              <w:t>Hong Kong (Toll Free):</w:t>
            </w:r>
          </w:p>
        </w:tc>
        <w:tc>
          <w:tcPr>
            <w:tcW w:w="1580" w:type="dxa"/>
            <w:tcBorders/>
            <w:vAlign w:val="center"/>
          </w:tcPr>
          <w:p>
            <w:pPr>
              <w:pStyle w:val="TableContents"/>
              <w:bidi w:val="0"/>
              <w:spacing w:before="0" w:after="283"/>
              <w:jc w:val="left"/>
              <w:rPr/>
            </w:pPr>
            <w:r>
              <w:rPr/>
              <w:t>800-966-806</w:t>
            </w:r>
          </w:p>
        </w:tc>
      </w:tr>
      <w:tr>
        <w:trPr/>
        <w:tc>
          <w:tcPr>
            <w:tcW w:w="2705" w:type="dxa"/>
            <w:tcBorders/>
            <w:vAlign w:val="center"/>
          </w:tcPr>
          <w:p>
            <w:pPr>
              <w:pStyle w:val="TableContents"/>
              <w:bidi w:val="0"/>
              <w:spacing w:before="0" w:after="283"/>
              <w:jc w:val="left"/>
              <w:rPr/>
            </w:pPr>
            <w:r>
              <w:rPr/>
              <w:t>Singapore (Toll Free):</w:t>
            </w:r>
          </w:p>
        </w:tc>
        <w:tc>
          <w:tcPr>
            <w:tcW w:w="1580" w:type="dxa"/>
            <w:tcBorders/>
            <w:vAlign w:val="center"/>
          </w:tcPr>
          <w:p>
            <w:pPr>
              <w:pStyle w:val="TableContents"/>
              <w:bidi w:val="0"/>
              <w:spacing w:before="0" w:after="283"/>
              <w:jc w:val="left"/>
              <w:rPr/>
            </w:pPr>
            <w:r>
              <w:rPr/>
              <w:t>800-101-2785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should dial in at least 10 minutes before the scheduled start time and ask to be connected to the call for “UCLOUDLINK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live and archived webcast of the conference call will be available at https://ir.ucloudlink.com.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telephone replay will be available one hour after the end of the conference until May 20, 2026 by dialing:</w:t>
      </w:r>
    </w:p>
    <w:p>
      <w:pPr>
        <w:pStyle w:val="TextBody"/>
        <w:bidi w:val="0"/>
        <w:spacing w:before="0" w:after="0"/>
        <w:ind w:left="0" w:right="0" w:hanging="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2270"/>
        <w:gridCol w:w="1505"/>
      </w:tblGrid>
      <w:tr>
        <w:trPr/>
        <w:tc>
          <w:tcPr>
            <w:tcW w:w="2270" w:type="dxa"/>
            <w:tcBorders/>
            <w:vAlign w:val="center"/>
          </w:tcPr>
          <w:p>
            <w:pPr>
              <w:pStyle w:val="TableContents"/>
              <w:bidi w:val="0"/>
              <w:spacing w:before="0" w:after="283"/>
              <w:jc w:val="both"/>
              <w:rPr/>
            </w:pPr>
            <w:r>
              <w:rPr/>
              <w:t>US/Canada (Toll Free):</w:t>
            </w:r>
          </w:p>
        </w:tc>
        <w:tc>
          <w:tcPr>
            <w:tcW w:w="1505" w:type="dxa"/>
            <w:tcBorders/>
            <w:vAlign w:val="center"/>
          </w:tcPr>
          <w:p>
            <w:pPr>
              <w:pStyle w:val="TableContents"/>
              <w:bidi w:val="0"/>
              <w:spacing w:before="0" w:after="283"/>
              <w:jc w:val="both"/>
              <w:rPr/>
            </w:pPr>
            <w:r>
              <w:rPr/>
              <w:t>1855-883-1031</w:t>
            </w:r>
          </w:p>
        </w:tc>
      </w:tr>
      <w:tr>
        <w:trPr/>
        <w:tc>
          <w:tcPr>
            <w:tcW w:w="2270" w:type="dxa"/>
            <w:tcBorders/>
            <w:vAlign w:val="center"/>
          </w:tcPr>
          <w:p>
            <w:pPr>
              <w:pStyle w:val="TableContents"/>
              <w:bidi w:val="0"/>
              <w:spacing w:before="0" w:after="283"/>
              <w:jc w:val="both"/>
              <w:rPr/>
            </w:pPr>
            <w:r>
              <w:rPr/>
              <w:t>International:</w:t>
            </w:r>
          </w:p>
        </w:tc>
        <w:tc>
          <w:tcPr>
            <w:tcW w:w="1505" w:type="dxa"/>
            <w:tcBorders/>
            <w:vAlign w:val="center"/>
          </w:tcPr>
          <w:p>
            <w:pPr>
              <w:pStyle w:val="TableContents"/>
              <w:bidi w:val="0"/>
              <w:spacing w:before="0" w:after="283"/>
              <w:jc w:val="both"/>
              <w:rPr/>
            </w:pPr>
            <w:r>
              <w:rPr/>
              <w:t>617-3107-6325</w:t>
            </w:r>
          </w:p>
        </w:tc>
      </w:tr>
      <w:tr>
        <w:trPr/>
        <w:tc>
          <w:tcPr>
            <w:tcW w:w="2270" w:type="dxa"/>
            <w:tcBorders/>
            <w:vAlign w:val="center"/>
          </w:tcPr>
          <w:p>
            <w:pPr>
              <w:pStyle w:val="TableContents"/>
              <w:bidi w:val="0"/>
              <w:spacing w:before="0" w:after="283"/>
              <w:jc w:val="both"/>
              <w:rPr/>
            </w:pPr>
            <w:r>
              <w:rPr/>
              <w:t>Replay Passcode:</w:t>
            </w:r>
          </w:p>
        </w:tc>
        <w:tc>
          <w:tcPr>
            <w:tcW w:w="1505" w:type="dxa"/>
            <w:tcBorders/>
            <w:vAlign w:val="center"/>
          </w:tcPr>
          <w:p>
            <w:pPr>
              <w:pStyle w:val="TableContents"/>
              <w:bidi w:val="0"/>
              <w:spacing w:before="0" w:after="283"/>
              <w:jc w:val="both"/>
              <w:rPr/>
            </w:pPr>
            <w:r>
              <w:rPr/>
              <w:t>10054677</w:t>
            </w:r>
          </w:p>
        </w:tc>
      </w:tr>
    </w:tbl>
    <w:p>
      <w:pPr>
        <w:pStyle w:val="TextBody"/>
        <w:bidi w:val="0"/>
        <w:spacing w:before="0" w:after="283"/>
        <w:jc w:val="left"/>
        <w:rPr/>
      </w:pPr>
      <w:r>
        <w:rPr/>
        <w:t> </w:t>
      </w:r>
    </w:p>
    <w:p>
      <w:pPr>
        <w:pStyle w:val="TextBody"/>
        <w:bidi w:val="0"/>
        <w:spacing w:before="0" w:after="0"/>
        <w:jc w:val="center"/>
        <w:rPr>
          <w:sz w:val="20"/>
          <w:bdr w:val="single" w:sz="16" w:space="1" w:color="000000"/>
        </w:rPr>
      </w:pPr>
      <w:r>
        <w:rPr>
          <w:sz w:val="20"/>
          <w:bdr w:val="single" w:sz="16" w:space="1" w:color="000000"/>
        </w:rPr>
        <w:t>6</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UCLOUDLINK GROUP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UCLOUDLINK is the world’s first and leading mobile data traffic sharing marketplace, pioneering the sharing economy business model for the telecommunications industry. The Company’s products and services deliver unique value propositions to mobile data users, handset and smart-hardware companies, mobile virtual network operators (MVNOs) and mobile network operators (MNOs). Leveraging its innovative cloud SIM technology and architecture, the Company has redefined the mobile data connectivity experience by allowing users to gain access to mobile data traffic allowance shared by network operators on its marketplace, while providing reliable connectivity, high speeds and competitive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the financial guidance and quotations from management in this announcement, as well as UCLOUDLINK’s strategic and operational plans, contain forward-looking statements. UCLOUDLINK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but not limited to statements about UCLOUDLINK’s beliefs and expectations, are forward-looking statements. Forward looking statements involve inherent risks and uncertainties. A number of factors could cause actual results to differ materially from those contained in any forward-looking statement, including but not limited to the following: UCLOUDLINK’s strategies; UCLOUDLINK’s future business development, financial condition and results of operations; UCLOUDLINK’s ability to increase its user base and usage of its mobile data connectivity services, and improve operational efficiency; competition in the global mobile data connectivity service industry; changes in UCLOUDLINK’s revenues, costs or expenditures; governmental policies and regulations relating to the global mobile data connectivity service industry, general economic and business conditions globally and in China; the impact of the COVID-19 pandemic to UCLOUDLINK’s business operations and the economy in China and elsewhere generally; and assumptions underlying or related to any of the foregoing. Further information regarding these and other risks is included in the Company’s filings with the Securities and Exchange Commission. All information provided in this press release and in the attachments is as of the date of the press release, and UCLOUDLINK undertakes no duty to update such information,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please contact:</w:t>
      </w:r>
    </w:p>
    <w:p>
      <w:pPr>
        <w:pStyle w:val="TextBody"/>
        <w:bidi w:val="0"/>
        <w:spacing w:before="0" w:after="0"/>
        <w:ind w:left="0" w:right="0" w:hanging="0"/>
        <w:jc w:val="left"/>
        <w:rPr>
          <w:caps w:val="false"/>
          <w:smallCaps w:val="false"/>
        </w:rPr>
      </w:pPr>
      <w:r>
        <w:rPr>
          <w:caps w:val="false"/>
          <w:smallCaps w:val="false"/>
        </w:rPr>
        <w:t> </w:t>
      </w:r>
    </w:p>
    <w:tbl>
      <w:tblPr>
        <w:tblW w:w="3755" w:type="dxa"/>
        <w:jc w:val="left"/>
        <w:tblInd w:w="0" w:type="dxa"/>
        <w:tblLayout w:type="fixed"/>
        <w:tblCellMar>
          <w:top w:w="0" w:type="dxa"/>
          <w:left w:w="0" w:type="dxa"/>
          <w:bottom w:w="0" w:type="dxa"/>
          <w:right w:w="0" w:type="dxa"/>
        </w:tblCellMar>
      </w:tblPr>
      <w:tblGrid>
        <w:gridCol w:w="3755"/>
      </w:tblGrid>
      <w:tr>
        <w:trPr/>
        <w:tc>
          <w:tcPr>
            <w:tcW w:w="3755" w:type="dxa"/>
            <w:tcBorders/>
            <w:vAlign w:val="center"/>
          </w:tcPr>
          <w:p>
            <w:pPr>
              <w:pStyle w:val="TableContents"/>
              <w:bidi w:val="0"/>
              <w:spacing w:before="0" w:after="283"/>
              <w:jc w:val="left"/>
              <w:rPr/>
            </w:pPr>
            <w:r>
              <w:rPr/>
              <w:t>UCLOUDLINK GROUP INC.</w:t>
            </w:r>
          </w:p>
        </w:tc>
      </w:tr>
      <w:tr>
        <w:trPr/>
        <w:tc>
          <w:tcPr>
            <w:tcW w:w="3755" w:type="dxa"/>
            <w:tcBorders/>
            <w:vAlign w:val="center"/>
          </w:tcPr>
          <w:p>
            <w:pPr>
              <w:pStyle w:val="TableContents"/>
              <w:bidi w:val="0"/>
              <w:spacing w:before="0" w:after="283"/>
              <w:jc w:val="left"/>
              <w:rPr/>
            </w:pPr>
            <w:r>
              <w:rPr/>
              <w:t>Daniel Gao</w:t>
            </w:r>
          </w:p>
        </w:tc>
      </w:tr>
      <w:tr>
        <w:trPr/>
        <w:tc>
          <w:tcPr>
            <w:tcW w:w="3755" w:type="dxa"/>
            <w:tcBorders/>
            <w:vAlign w:val="center"/>
          </w:tcPr>
          <w:p>
            <w:pPr>
              <w:pStyle w:val="TableContents"/>
              <w:bidi w:val="0"/>
              <w:spacing w:before="0" w:after="283"/>
              <w:jc w:val="left"/>
              <w:rPr/>
            </w:pPr>
            <w:r>
              <w:rPr/>
              <w:t>Tel: +852-2180-6111</w:t>
            </w:r>
          </w:p>
        </w:tc>
      </w:tr>
      <w:tr>
        <w:trPr/>
        <w:tc>
          <w:tcPr>
            <w:tcW w:w="3755" w:type="dxa"/>
            <w:tcBorders/>
            <w:vAlign w:val="center"/>
          </w:tcPr>
          <w:p>
            <w:pPr>
              <w:pStyle w:val="TableContents"/>
              <w:bidi w:val="0"/>
              <w:spacing w:before="0" w:after="283"/>
              <w:jc w:val="left"/>
              <w:rPr/>
            </w:pPr>
            <w:r>
              <w:rPr/>
              <w:t xml:space="preserve">E-mail: </w:t>
            </w:r>
            <w:r>
              <w:rPr>
                <w:sz w:val="20"/>
              </w:rPr>
              <w:t>ir@ucloudlink.com</w:t>
            </w:r>
          </w:p>
        </w:tc>
      </w:tr>
      <w:tr>
        <w:trPr/>
        <w:tc>
          <w:tcPr>
            <w:tcW w:w="375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Investor Relations:</w:t>
            </w:r>
          </w:p>
        </w:tc>
      </w:tr>
      <w:tr>
        <w:trPr/>
        <w:tc>
          <w:tcPr>
            <w:tcW w:w="3755" w:type="dxa"/>
            <w:tcBorders/>
            <w:vAlign w:val="center"/>
          </w:tcPr>
          <w:p>
            <w:pPr>
              <w:pStyle w:val="TableContents"/>
              <w:bidi w:val="0"/>
              <w:spacing w:before="0" w:after="283"/>
              <w:jc w:val="left"/>
              <w:rPr/>
            </w:pPr>
            <w:r>
              <w:rPr/>
              <w:t>Christensen Advisory</w:t>
            </w:r>
          </w:p>
        </w:tc>
      </w:tr>
      <w:tr>
        <w:trPr/>
        <w:tc>
          <w:tcPr>
            <w:tcW w:w="3755" w:type="dxa"/>
            <w:tcBorders/>
            <w:vAlign w:val="center"/>
          </w:tcPr>
          <w:p>
            <w:pPr>
              <w:pStyle w:val="TableContents"/>
              <w:bidi w:val="0"/>
              <w:spacing w:before="0" w:after="283"/>
              <w:jc w:val="left"/>
              <w:rPr/>
            </w:pPr>
            <w:r>
              <w:rPr/>
              <w:t>Christian Arnell, Managing Director</w:t>
            </w:r>
          </w:p>
        </w:tc>
      </w:tr>
      <w:tr>
        <w:trPr/>
        <w:tc>
          <w:tcPr>
            <w:tcW w:w="3755" w:type="dxa"/>
            <w:tcBorders/>
            <w:vAlign w:val="center"/>
          </w:tcPr>
          <w:p>
            <w:pPr>
              <w:pStyle w:val="TableContents"/>
              <w:bidi w:val="0"/>
              <w:spacing w:before="0" w:after="283"/>
              <w:jc w:val="left"/>
              <w:rPr/>
            </w:pPr>
            <w:r>
              <w:rPr/>
              <w:t>Tel: +852-2117-0861</w:t>
            </w:r>
          </w:p>
        </w:tc>
      </w:tr>
      <w:tr>
        <w:trPr/>
        <w:tc>
          <w:tcPr>
            <w:tcW w:w="3755" w:type="dxa"/>
            <w:tcBorders/>
            <w:vAlign w:val="center"/>
          </w:tcPr>
          <w:p>
            <w:pPr>
              <w:pStyle w:val="TableContents"/>
              <w:bidi w:val="0"/>
              <w:spacing w:before="0" w:after="283"/>
              <w:jc w:val="left"/>
              <w:rPr/>
            </w:pPr>
            <w:r>
              <w:rPr/>
              <w:t xml:space="preserve">E-mail: </w:t>
            </w:r>
            <w:r>
              <w:rPr>
                <w:sz w:val="20"/>
              </w:rPr>
              <w:t>ucloudlink@christensencomms.com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6" w:space="1" w:color="000000"/>
        </w:rPr>
      </w:pPr>
      <w:r>
        <w:rPr>
          <w:sz w:val="20"/>
          <w:bdr w:val="single" w:sz="16"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UCLOUDLINK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CONSOLIDATED BALANCE SHEETS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except for share and per share data)</w:t>
      </w:r>
    </w:p>
    <w:p>
      <w:pPr>
        <w:pStyle w:val="TextBody"/>
        <w:bidi w:val="0"/>
        <w:spacing w:before="0" w:after="0"/>
        <w:ind w:left="0" w:right="0" w:hanging="0"/>
        <w:jc w:val="both"/>
        <w:rPr>
          <w:caps w:val="false"/>
          <w:smallCaps w:val="false"/>
        </w:rPr>
      </w:pPr>
      <w:r>
        <w:rPr>
          <w:caps w:val="false"/>
          <w:smallCaps w:val="false"/>
        </w:rPr>
        <w:t> </w:t>
      </w:r>
    </w:p>
    <w:tbl>
      <w:tblPr>
        <w:tblW w:w="9038" w:type="dxa"/>
        <w:jc w:val="left"/>
        <w:tblInd w:w="0" w:type="dxa"/>
        <w:tblLayout w:type="fixed"/>
        <w:tblCellMar>
          <w:top w:w="0" w:type="dxa"/>
          <w:left w:w="0" w:type="dxa"/>
          <w:bottom w:w="0" w:type="dxa"/>
          <w:right w:w="0" w:type="dxa"/>
        </w:tblCellMar>
      </w:tblPr>
      <w:tblGrid>
        <w:gridCol w:w="6230"/>
        <w:gridCol w:w="60"/>
        <w:gridCol w:w="89"/>
        <w:gridCol w:w="1325"/>
        <w:gridCol w:w="95"/>
        <w:gridCol w:w="60"/>
        <w:gridCol w:w="68"/>
        <w:gridCol w:w="1001"/>
        <w:gridCol w:w="110"/>
      </w:tblGrid>
      <w:tr>
        <w:trPr/>
        <w:tc>
          <w:tcPr>
            <w:tcW w:w="62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 xml:space="preserve">As of </w:t>
              <w:b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As of</w:t>
              <w:br/>
              <w:t>March 31,</w:t>
            </w:r>
          </w:p>
        </w:tc>
        <w:tc>
          <w:tcPr>
            <w:tcW w:w="110"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b/>
              </w:rPr>
            </w:pPr>
            <w:r>
              <w:rPr>
                <w:b/>
              </w:rPr>
              <w:t>ASSETS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32,831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27,998</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4,436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4,604</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pPr>
            <w:r>
              <w:rPr/>
              <w:t>Inventories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4,580</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pPr>
            <w:r>
              <w:rPr/>
              <w:t>Prepayments and other current assets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4,574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6,657</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pPr>
            <w:r>
              <w:rPr/>
              <w:t>Other investments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13,346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12,693</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pPr>
            <w:r>
              <w:rPr/>
              <w:t>Amounts due from related parties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pPr>
            <w:r>
              <w:rPr/>
              <w:t>1,697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1" w:type="dxa"/>
            <w:tcBorders>
              <w:bottom w:val="single" w:sz="12" w:space="0" w:color="000000"/>
            </w:tcBorders>
            <w:shd w:fill="FFFFFF" w:val="clear"/>
            <w:tcMar>
              <w:bottom w:w="28" w:type="dxa"/>
            </w:tcMar>
            <w:vAlign w:val="center"/>
          </w:tcPr>
          <w:p>
            <w:pPr>
              <w:pStyle w:val="TableContents"/>
              <w:bidi w:val="0"/>
              <w:spacing w:before="0" w:after="283"/>
              <w:jc w:val="right"/>
              <w:rPr/>
            </w:pPr>
            <w:r>
              <w:rPr/>
              <w:t>28</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61,262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56,560</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pPr>
            <w:r>
              <w:rPr/>
              <w:t>Long-term investments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2,044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2,075</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2,224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1,679</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pPr>
            <w:r>
              <w:rPr/>
              <w:t>Right-of-use assets, net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1,745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1,278</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487</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pPr>
            <w:r>
              <w:rPr/>
              <w:t>Prepayment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single" w:sz="12" w:space="0" w:color="000000"/>
            </w:tcBorders>
            <w:shd w:fill="CCEEFF" w:val="clear"/>
            <w:tcMar>
              <w:bottom w:w="28" w:type="dxa"/>
            </w:tcMar>
            <w:vAlign w:val="center"/>
          </w:tcPr>
          <w:p>
            <w:pPr>
              <w:pStyle w:val="TableContents"/>
              <w:bidi w:val="0"/>
              <w:spacing w:before="0" w:after="283"/>
              <w:jc w:val="right"/>
              <w:rPr/>
            </w:pPr>
            <w:r>
              <w:rPr/>
              <w:t>56</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6,567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5,575</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67,829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62,135</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pPr>
            <w:r>
              <w:rPr/>
              <w:t>Short term borrowings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5,549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9,310</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pPr>
            <w:r>
              <w:rPr/>
              <w:t>Current portion of long-term bank borrowings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35</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19,343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17,993</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7,193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3,805</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2,315</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pPr>
            <w:r>
              <w:rPr/>
              <w:t>1,189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1" w:type="dxa"/>
            <w:tcBorders>
              <w:bottom w:val="single" w:sz="12" w:space="0" w:color="000000"/>
            </w:tcBorders>
            <w:shd w:fill="FFFFFF" w:val="clear"/>
            <w:tcMar>
              <w:bottom w:w="28" w:type="dxa"/>
            </w:tcMar>
            <w:vAlign w:val="center"/>
          </w:tcPr>
          <w:p>
            <w:pPr>
              <w:pStyle w:val="TableContents"/>
              <w:bidi w:val="0"/>
              <w:spacing w:before="0" w:after="283"/>
              <w:jc w:val="right"/>
              <w:rPr/>
            </w:pPr>
            <w:r>
              <w:rPr/>
              <w:t>780</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36,767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34,238</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pPr>
            <w:r>
              <w:rPr/>
              <w:t>Long term borrowings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1,648</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574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461</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single" w:sz="12" w:space="0" w:color="000000"/>
            </w:tcBorders>
            <w:shd w:fill="CCEEFF" w:val="clear"/>
            <w:tcMar>
              <w:bottom w:w="28" w:type="dxa"/>
            </w:tcMar>
            <w:vAlign w:val="center"/>
          </w:tcPr>
          <w:p>
            <w:pPr>
              <w:pStyle w:val="TableContents"/>
              <w:bidi w:val="0"/>
              <w:spacing w:before="0" w:after="283"/>
              <w:jc w:val="right"/>
              <w:rPr/>
            </w:pPr>
            <w:r>
              <w:rPr/>
              <w:t>42</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2,151</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39,021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36,389</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pPr>
            <w:r>
              <w:rPr/>
              <w:t>Class A ordinary shares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13</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pPr>
            <w:r>
              <w:rPr/>
              <w:t>Class B ordinary shares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6</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242,421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242,617</w:t>
            </w:r>
          </w:p>
        </w:tc>
        <w:tc>
          <w:tcPr>
            <w:tcW w:w="110"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both"/>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2,310</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pPr>
            <w:r>
              <w:rPr/>
              <w:t>Accumulated losses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pPr>
            <w:r>
              <w:rPr/>
              <w:t>(215,707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1" w:type="dxa"/>
            <w:tcBorders>
              <w:bottom w:val="single" w:sz="12" w:space="0" w:color="000000"/>
            </w:tcBorders>
            <w:shd w:fill="FFFFFF" w:val="clear"/>
            <w:tcMar>
              <w:bottom w:w="28" w:type="dxa"/>
            </w:tcMar>
            <w:vAlign w:val="center"/>
          </w:tcPr>
          <w:p>
            <w:pPr>
              <w:pStyle w:val="TableContents"/>
              <w:bidi w:val="0"/>
              <w:spacing w:before="0" w:after="283"/>
              <w:jc w:val="right"/>
              <w:rPr/>
            </w:pPr>
            <w:r>
              <w:rPr/>
              <w:t>(219,200</w:t>
            </w:r>
          </w:p>
        </w:tc>
        <w:tc>
          <w:tcPr>
            <w:tcW w:w="110" w:type="dxa"/>
            <w:tcBorders/>
            <w:shd w:fill="FFFFFF" w:val="clear"/>
            <w:vAlign w:val="center"/>
          </w:tcPr>
          <w:p>
            <w:pPr>
              <w:pStyle w:val="TableContents"/>
              <w:bidi w:val="0"/>
              <w:spacing w:before="0" w:after="283"/>
              <w:jc w:val="left"/>
              <w:rPr/>
            </w:pPr>
            <w:r>
              <w:rPr/>
              <w:t>)</w:t>
            </w:r>
          </w:p>
        </w:tc>
      </w:tr>
      <w:tr>
        <w:trPr/>
        <w:tc>
          <w:tcPr>
            <w:tcW w:w="6230" w:type="dxa"/>
            <w:tcBorders/>
            <w:shd w:fill="CCEEFF" w:val="clear"/>
            <w:vAlign w:val="center"/>
          </w:tcPr>
          <w:p>
            <w:pPr>
              <w:pStyle w:val="TableContents"/>
              <w:bidi w:val="0"/>
              <w:spacing w:before="0" w:after="283"/>
              <w:jc w:val="both"/>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28,808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25,746</w:t>
            </w:r>
          </w:p>
        </w:tc>
        <w:tc>
          <w:tcPr>
            <w:tcW w:w="110"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both"/>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67,829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0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62,135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6" w:space="1" w:color="000000"/>
        </w:rPr>
      </w:pPr>
      <w:r>
        <w:rPr>
          <w:sz w:val="20"/>
          <w:bdr w:val="single" w:sz="16"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UCLOUDLINK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STATEMENTS OF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except for share and per share data)</w:t>
      </w:r>
    </w:p>
    <w:p>
      <w:pPr>
        <w:pStyle w:val="TextBody"/>
        <w:bidi w:val="0"/>
        <w:spacing w:before="0" w:after="0"/>
        <w:ind w:left="0" w:right="0" w:hanging="0"/>
        <w:jc w:val="both"/>
        <w:rPr>
          <w:caps w:val="false"/>
          <w:smallCaps w:val="false"/>
        </w:rPr>
      </w:pPr>
      <w:r>
        <w:rPr>
          <w:caps w:val="false"/>
          <w:smallCaps w:val="false"/>
        </w:rPr>
        <w:t> </w:t>
      </w:r>
    </w:p>
    <w:tbl>
      <w:tblPr>
        <w:tblW w:w="9897" w:type="dxa"/>
        <w:jc w:val="left"/>
        <w:tblInd w:w="0" w:type="dxa"/>
        <w:tblLayout w:type="fixed"/>
        <w:tblCellMar>
          <w:top w:w="0" w:type="dxa"/>
          <w:left w:w="0" w:type="dxa"/>
          <w:bottom w:w="0" w:type="dxa"/>
          <w:right w:w="0" w:type="dxa"/>
        </w:tblCellMar>
      </w:tblPr>
      <w:tblGrid>
        <w:gridCol w:w="6890"/>
        <w:gridCol w:w="60"/>
        <w:gridCol w:w="62"/>
        <w:gridCol w:w="1276"/>
        <w:gridCol w:w="99"/>
        <w:gridCol w:w="62"/>
        <w:gridCol w:w="62"/>
        <w:gridCol w:w="1276"/>
        <w:gridCol w:w="110"/>
      </w:tblGrid>
      <w:tr>
        <w:trPr/>
        <w:tc>
          <w:tcPr>
            <w:tcW w:w="68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3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110" w:type="dxa"/>
            <w:tcBorders/>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31, </w:t>
              <w:br/>
              <w:t>2025</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31, </w:t>
              <w:br/>
              <w:t>2026</w:t>
            </w:r>
          </w:p>
        </w:tc>
        <w:tc>
          <w:tcPr>
            <w:tcW w:w="110"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both"/>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b/>
              </w:rPr>
            </w:pPr>
            <w:r>
              <w:rPr>
                <w:b/>
              </w:rPr>
              <w:t>18,749</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b/>
              </w:rPr>
            </w:pPr>
            <w:r>
              <w:rPr>
                <w:b/>
              </w:rPr>
              <w:t>16,859</w:t>
            </w:r>
          </w:p>
        </w:tc>
        <w:tc>
          <w:tcPr>
            <w:tcW w:w="110"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both"/>
              <w:rPr/>
            </w:pPr>
            <w:r>
              <w:rPr/>
              <w:t>Revenues from services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14,199</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13,300</w:t>
            </w:r>
          </w:p>
        </w:tc>
        <w:tc>
          <w:tcPr>
            <w:tcW w:w="110" w:type="dxa"/>
            <w:tcBorders/>
            <w:shd w:fill="FFFFFF" w:val="clear"/>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both"/>
              <w:rPr/>
            </w:pPr>
            <w:r>
              <w:rPr/>
              <w:t>Sales of products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4,550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3,559</w:t>
            </w:r>
          </w:p>
        </w:tc>
        <w:tc>
          <w:tcPr>
            <w:tcW w:w="110"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both"/>
              <w:rPr>
                <w:b/>
              </w:rPr>
            </w:pPr>
            <w:r>
              <w:rPr>
                <w:b/>
              </w:rPr>
              <w:t>Cost of revenues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b/>
              </w:rPr>
            </w:pPr>
            <w:r>
              <w:rPr>
                <w:b/>
              </w:rPr>
              <w:t>(9,059</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b/>
              </w:rPr>
            </w:pPr>
            <w:r>
              <w:rPr>
                <w:b/>
              </w:rPr>
              <w:t>(8,586</w:t>
            </w:r>
          </w:p>
        </w:tc>
        <w:tc>
          <w:tcPr>
            <w:tcW w:w="110" w:type="dxa"/>
            <w:tcBorders/>
            <w:shd w:fill="FFFFFF" w:val="clear"/>
            <w:vAlign w:val="center"/>
          </w:tcPr>
          <w:p>
            <w:pPr>
              <w:pStyle w:val="TableContents"/>
              <w:bidi w:val="0"/>
              <w:spacing w:before="0" w:after="283"/>
              <w:jc w:val="left"/>
              <w:rPr>
                <w:b/>
              </w:rPr>
            </w:pPr>
            <w:r>
              <w:rPr>
                <w:b/>
              </w:rPr>
              <w:t>)</w:t>
            </w:r>
          </w:p>
        </w:tc>
      </w:tr>
      <w:tr>
        <w:trPr/>
        <w:tc>
          <w:tcPr>
            <w:tcW w:w="6890" w:type="dxa"/>
            <w:tcBorders/>
            <w:shd w:fill="CCEEFF" w:val="clear"/>
            <w:vAlign w:val="center"/>
          </w:tcPr>
          <w:p>
            <w:pPr>
              <w:pStyle w:val="TableContents"/>
              <w:bidi w:val="0"/>
              <w:spacing w:before="0" w:after="283"/>
              <w:jc w:val="both"/>
              <w:rPr/>
            </w:pPr>
            <w:r>
              <w:rPr/>
              <w:t>Cost of services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(6,070</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(6,055</w:t>
            </w:r>
          </w:p>
        </w:tc>
        <w:tc>
          <w:tcPr>
            <w:tcW w:w="110" w:type="dxa"/>
            <w:tcBorders/>
            <w:shd w:fill="CCEEFF" w:val="clear"/>
            <w:vAlign w:val="center"/>
          </w:tcPr>
          <w:p>
            <w:pPr>
              <w:pStyle w:val="TableContents"/>
              <w:bidi w:val="0"/>
              <w:spacing w:before="0" w:after="283"/>
              <w:jc w:val="left"/>
              <w:rPr/>
            </w:pPr>
            <w:r>
              <w:rPr/>
              <w:t>)</w:t>
            </w:r>
          </w:p>
        </w:tc>
      </w:tr>
      <w:tr>
        <w:trPr/>
        <w:tc>
          <w:tcPr>
            <w:tcW w:w="6890" w:type="dxa"/>
            <w:tcBorders/>
            <w:shd w:fill="FFFFFF" w:val="clear"/>
            <w:vAlign w:val="center"/>
          </w:tcPr>
          <w:p>
            <w:pPr>
              <w:pStyle w:val="TableContents"/>
              <w:bidi w:val="0"/>
              <w:spacing w:before="0" w:after="283"/>
              <w:jc w:val="both"/>
              <w:rPr/>
            </w:pPr>
            <w:r>
              <w:rPr/>
              <w:t>Cost of products sold</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FFFFFF" w:val="clear"/>
            <w:tcMar>
              <w:bottom w:w="28" w:type="dxa"/>
            </w:tcMar>
            <w:vAlign w:val="center"/>
          </w:tcPr>
          <w:p>
            <w:pPr>
              <w:pStyle w:val="TableContents"/>
              <w:bidi w:val="0"/>
              <w:spacing w:before="0" w:after="283"/>
              <w:jc w:val="right"/>
              <w:rPr/>
            </w:pPr>
            <w:r>
              <w:rPr/>
              <w:t>(2,989</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FFFFFF" w:val="clear"/>
            <w:tcMar>
              <w:bottom w:w="28" w:type="dxa"/>
            </w:tcMar>
            <w:vAlign w:val="center"/>
          </w:tcPr>
          <w:p>
            <w:pPr>
              <w:pStyle w:val="TableContents"/>
              <w:bidi w:val="0"/>
              <w:spacing w:before="0" w:after="283"/>
              <w:jc w:val="right"/>
              <w:rPr/>
            </w:pPr>
            <w:r>
              <w:rPr/>
              <w:t>(2,531</w:t>
            </w:r>
          </w:p>
        </w:tc>
        <w:tc>
          <w:tcPr>
            <w:tcW w:w="110" w:type="dxa"/>
            <w:tcBorders/>
            <w:shd w:fill="FFFFFF" w:val="clear"/>
            <w:vAlign w:val="center"/>
          </w:tcPr>
          <w:p>
            <w:pPr>
              <w:pStyle w:val="TableContents"/>
              <w:bidi w:val="0"/>
              <w:spacing w:before="0" w:after="283"/>
              <w:jc w:val="left"/>
              <w:rPr/>
            </w:pPr>
            <w:r>
              <w:rPr/>
              <w:t>)</w:t>
            </w:r>
          </w:p>
        </w:tc>
      </w:tr>
      <w:tr>
        <w:trPr/>
        <w:tc>
          <w:tcPr>
            <w:tcW w:w="6890" w:type="dxa"/>
            <w:tcBorders/>
            <w:shd w:fill="CCEEFF" w:val="clear"/>
            <w:vAlign w:val="center"/>
          </w:tcPr>
          <w:p>
            <w:pPr>
              <w:pStyle w:val="TableContents"/>
              <w:bidi w:val="0"/>
              <w:spacing w:before="0" w:after="283"/>
              <w:jc w:val="both"/>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b/>
              </w:rPr>
            </w:pPr>
            <w:r>
              <w:rPr>
                <w:b/>
              </w:rPr>
              <w:t>9,690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b/>
              </w:rPr>
            </w:pPr>
            <w:r>
              <w:rPr>
                <w:b/>
              </w:rPr>
              <w:t>8,273</w:t>
            </w:r>
          </w:p>
        </w:tc>
        <w:tc>
          <w:tcPr>
            <w:tcW w:w="110"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both"/>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(1,399</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(1,628</w:t>
            </w:r>
          </w:p>
        </w:tc>
        <w:tc>
          <w:tcPr>
            <w:tcW w:w="110" w:type="dxa"/>
            <w:tcBorders/>
            <w:shd w:fill="FFFFFF" w:val="clear"/>
            <w:vAlign w:val="center"/>
          </w:tcPr>
          <w:p>
            <w:pPr>
              <w:pStyle w:val="TableContents"/>
              <w:bidi w:val="0"/>
              <w:spacing w:before="0" w:after="283"/>
              <w:jc w:val="left"/>
              <w:rPr/>
            </w:pPr>
            <w:r>
              <w:rPr/>
              <w:t>)</w:t>
            </w:r>
          </w:p>
        </w:tc>
      </w:tr>
      <w:tr>
        <w:trPr/>
        <w:tc>
          <w:tcPr>
            <w:tcW w:w="6890" w:type="dxa"/>
            <w:tcBorders/>
            <w:shd w:fill="CCEEFF" w:val="clear"/>
            <w:vAlign w:val="center"/>
          </w:tcPr>
          <w:p>
            <w:pPr>
              <w:pStyle w:val="TableContents"/>
              <w:bidi w:val="0"/>
              <w:spacing w:before="0" w:after="283"/>
              <w:jc w:val="both"/>
              <w:rPr/>
            </w:pPr>
            <w:r>
              <w:rPr/>
              <w:t>Sales and marketing expenses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(5,693</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(6,387</w:t>
            </w:r>
          </w:p>
        </w:tc>
        <w:tc>
          <w:tcPr>
            <w:tcW w:w="110" w:type="dxa"/>
            <w:tcBorders/>
            <w:shd w:fill="CCEEFF" w:val="clear"/>
            <w:vAlign w:val="center"/>
          </w:tcPr>
          <w:p>
            <w:pPr>
              <w:pStyle w:val="TableContents"/>
              <w:bidi w:val="0"/>
              <w:spacing w:before="0" w:after="283"/>
              <w:jc w:val="left"/>
              <w:rPr/>
            </w:pPr>
            <w:r>
              <w:rPr/>
              <w:t>)</w:t>
            </w:r>
          </w:p>
        </w:tc>
      </w:tr>
      <w:tr>
        <w:trPr/>
        <w:tc>
          <w:tcPr>
            <w:tcW w:w="6890" w:type="dxa"/>
            <w:tcBorders/>
            <w:shd w:fill="FFFFFF" w:val="clear"/>
            <w:vAlign w:val="center"/>
          </w:tcPr>
          <w:p>
            <w:pPr>
              <w:pStyle w:val="TableContents"/>
              <w:bidi w:val="0"/>
              <w:spacing w:before="0" w:after="283"/>
              <w:jc w:val="both"/>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(3,140</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(2,932</w:t>
            </w:r>
          </w:p>
        </w:tc>
        <w:tc>
          <w:tcPr>
            <w:tcW w:w="110" w:type="dxa"/>
            <w:tcBorders/>
            <w:shd w:fill="FFFFFF" w:val="clear"/>
            <w:vAlign w:val="center"/>
          </w:tcPr>
          <w:p>
            <w:pPr>
              <w:pStyle w:val="TableContents"/>
              <w:bidi w:val="0"/>
              <w:spacing w:before="0" w:after="283"/>
              <w:jc w:val="left"/>
              <w:rPr/>
            </w:pPr>
            <w:r>
              <w:rPr/>
              <w:t>)</w:t>
            </w:r>
          </w:p>
        </w:tc>
      </w:tr>
      <w:tr>
        <w:trPr/>
        <w:tc>
          <w:tcPr>
            <w:tcW w:w="6890" w:type="dxa"/>
            <w:tcBorders/>
            <w:shd w:fill="CCEEFF" w:val="clear"/>
            <w:vAlign w:val="center"/>
          </w:tcPr>
          <w:p>
            <w:pPr>
              <w:pStyle w:val="TableContents"/>
              <w:bidi w:val="0"/>
              <w:spacing w:before="0" w:after="283"/>
              <w:jc w:val="both"/>
              <w:rPr/>
            </w:pPr>
            <w:r>
              <w:rPr/>
              <w:t>Other income/(expense), net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pPr>
            <w:r>
              <w:rPr/>
              <w:t>70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pPr>
            <w:r>
              <w:rPr/>
              <w:t>(795</w:t>
            </w:r>
          </w:p>
        </w:tc>
        <w:tc>
          <w:tcPr>
            <w:tcW w:w="110" w:type="dxa"/>
            <w:tcBorders/>
            <w:shd w:fill="CCEEFF" w:val="clear"/>
            <w:vAlign w:val="center"/>
          </w:tcPr>
          <w:p>
            <w:pPr>
              <w:pStyle w:val="TableContents"/>
              <w:bidi w:val="0"/>
              <w:spacing w:before="0" w:after="283"/>
              <w:jc w:val="left"/>
              <w:rPr/>
            </w:pPr>
            <w:r>
              <w:rPr/>
              <w:t>)</w:t>
            </w:r>
          </w:p>
        </w:tc>
      </w:tr>
      <w:tr>
        <w:trPr/>
        <w:tc>
          <w:tcPr>
            <w:tcW w:w="6890" w:type="dxa"/>
            <w:tcBorders/>
            <w:shd w:fill="FFFFFF" w:val="clear"/>
            <w:vAlign w:val="center"/>
          </w:tcPr>
          <w:p>
            <w:pPr>
              <w:pStyle w:val="TableContents"/>
              <w:bidi w:val="0"/>
              <w:spacing w:before="0" w:after="283"/>
              <w:jc w:val="both"/>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b/>
              </w:rPr>
            </w:pPr>
            <w:r>
              <w:rPr>
                <w:b/>
              </w:rPr>
              <w:t>(472</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b/>
              </w:rPr>
            </w:pPr>
            <w:r>
              <w:rPr>
                <w:b/>
              </w:rPr>
              <w:t>(3,469</w:t>
            </w:r>
          </w:p>
        </w:tc>
        <w:tc>
          <w:tcPr>
            <w:tcW w:w="110" w:type="dxa"/>
            <w:tcBorders/>
            <w:shd w:fill="FFFFFF" w:val="clear"/>
            <w:vAlign w:val="center"/>
          </w:tcPr>
          <w:p>
            <w:pPr>
              <w:pStyle w:val="TableContents"/>
              <w:bidi w:val="0"/>
              <w:spacing w:before="0" w:after="283"/>
              <w:jc w:val="left"/>
              <w:rPr>
                <w:b/>
              </w:rPr>
            </w:pPr>
            <w:r>
              <w:rPr>
                <w:b/>
              </w:rPr>
              <w:t>)</w:t>
            </w:r>
          </w:p>
        </w:tc>
      </w:tr>
      <w:tr>
        <w:trPr/>
        <w:tc>
          <w:tcPr>
            <w:tcW w:w="6890" w:type="dxa"/>
            <w:tcBorders/>
            <w:shd w:fill="CCEEFF" w:val="clear"/>
            <w:vAlign w:val="center"/>
          </w:tcPr>
          <w:p>
            <w:pPr>
              <w:pStyle w:val="TableContents"/>
              <w:bidi w:val="0"/>
              <w:spacing w:before="0" w:after="283"/>
              <w:jc w:val="both"/>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5</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both"/>
              <w:rPr/>
            </w:pPr>
            <w:r>
              <w:rPr/>
              <w:t>Interest expenses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FFFFFF" w:val="clear"/>
            <w:tcMar>
              <w:bottom w:w="28" w:type="dxa"/>
            </w:tcMar>
            <w:vAlign w:val="center"/>
          </w:tcPr>
          <w:p>
            <w:pPr>
              <w:pStyle w:val="TableContents"/>
              <w:bidi w:val="0"/>
              <w:spacing w:before="0" w:after="283"/>
              <w:jc w:val="right"/>
              <w:rPr/>
            </w:pPr>
            <w:r>
              <w:rPr/>
              <w:t>(57</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FFFFFF" w:val="clear"/>
            <w:tcMar>
              <w:bottom w:w="28" w:type="dxa"/>
            </w:tcMar>
            <w:vAlign w:val="center"/>
          </w:tcPr>
          <w:p>
            <w:pPr>
              <w:pStyle w:val="TableContents"/>
              <w:bidi w:val="0"/>
              <w:spacing w:before="0" w:after="283"/>
              <w:jc w:val="right"/>
              <w:rPr/>
            </w:pPr>
            <w:r>
              <w:rPr/>
              <w:t>(56</w:t>
            </w:r>
          </w:p>
        </w:tc>
        <w:tc>
          <w:tcPr>
            <w:tcW w:w="110" w:type="dxa"/>
            <w:tcBorders/>
            <w:shd w:fill="FFFFFF" w:val="clear"/>
            <w:vAlign w:val="center"/>
          </w:tcPr>
          <w:p>
            <w:pPr>
              <w:pStyle w:val="TableContents"/>
              <w:bidi w:val="0"/>
              <w:spacing w:before="0" w:after="283"/>
              <w:jc w:val="left"/>
              <w:rPr/>
            </w:pPr>
            <w:r>
              <w:rPr/>
              <w:t>)</w:t>
            </w:r>
          </w:p>
        </w:tc>
      </w:tr>
      <w:tr>
        <w:trPr/>
        <w:tc>
          <w:tcPr>
            <w:tcW w:w="6890" w:type="dxa"/>
            <w:tcBorders/>
            <w:shd w:fill="CCEEFF" w:val="clear"/>
            <w:vAlign w:val="center"/>
          </w:tcPr>
          <w:p>
            <w:pPr>
              <w:pStyle w:val="TableContents"/>
              <w:bidi w:val="0"/>
              <w:spacing w:before="0" w:after="283"/>
              <w:jc w:val="both"/>
              <w:rPr>
                <w:b/>
              </w:rPr>
            </w:pPr>
            <w:r>
              <w:rPr>
                <w:b/>
              </w:rPr>
              <w:t>Loss before income tax</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b/>
              </w:rPr>
            </w:pPr>
            <w:r>
              <w:rPr>
                <w:b/>
              </w:rPr>
              <w:t>(524</w:t>
            </w:r>
          </w:p>
        </w:tc>
        <w:tc>
          <w:tcPr>
            <w:tcW w:w="99"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b/>
              </w:rPr>
            </w:pPr>
            <w:r>
              <w:rPr>
                <w:b/>
              </w:rPr>
              <w:t>(3,522</w:t>
            </w:r>
          </w:p>
        </w:tc>
        <w:tc>
          <w:tcPr>
            <w:tcW w:w="110" w:type="dxa"/>
            <w:tcBorders/>
            <w:shd w:fill="CCEEFF" w:val="clear"/>
            <w:vAlign w:val="center"/>
          </w:tcPr>
          <w:p>
            <w:pPr>
              <w:pStyle w:val="TableContents"/>
              <w:bidi w:val="0"/>
              <w:spacing w:before="0" w:after="283"/>
              <w:jc w:val="left"/>
              <w:rPr>
                <w:b/>
              </w:rPr>
            </w:pPr>
            <w:r>
              <w:rPr>
                <w:b/>
              </w:rPr>
              <w:t>)</w:t>
            </w:r>
          </w:p>
        </w:tc>
      </w:tr>
      <w:tr>
        <w:trPr/>
        <w:tc>
          <w:tcPr>
            <w:tcW w:w="6890" w:type="dxa"/>
            <w:tcBorders/>
            <w:shd w:fill="FFFFFF" w:val="clear"/>
            <w:vAlign w:val="center"/>
          </w:tcPr>
          <w:p>
            <w:pPr>
              <w:pStyle w:val="TableContents"/>
              <w:bidi w:val="0"/>
              <w:spacing w:before="0" w:after="283"/>
              <w:jc w:val="both"/>
              <w:rPr/>
            </w:pPr>
            <w:r>
              <w:rPr/>
              <w:t>Income tax (expenses)/credit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(87</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31</w:t>
            </w:r>
          </w:p>
        </w:tc>
        <w:tc>
          <w:tcPr>
            <w:tcW w:w="110" w:type="dxa"/>
            <w:tcBorders/>
            <w:shd w:fill="FFFFFF" w:val="clear"/>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both"/>
              <w:rPr/>
            </w:pPr>
            <w:r>
              <w:rPr/>
              <w:t>Share of loss in equity method investment, net of tax</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w:t>
            </w:r>
          </w:p>
        </w:tc>
      </w:tr>
      <w:tr>
        <w:trPr/>
        <w:tc>
          <w:tcPr>
            <w:tcW w:w="6890" w:type="dxa"/>
            <w:tcBorders/>
            <w:shd w:fill="FFFFFF" w:val="clear"/>
            <w:vAlign w:val="center"/>
          </w:tcPr>
          <w:p>
            <w:pPr>
              <w:pStyle w:val="TableContents"/>
              <w:bidi w:val="0"/>
              <w:spacing w:before="0" w:after="283"/>
              <w:jc w:val="both"/>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b/>
              </w:rPr>
            </w:pPr>
            <w:r>
              <w:rPr>
                <w:b/>
              </w:rPr>
              <w:t>(614</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b/>
              </w:rPr>
            </w:pPr>
            <w:r>
              <w:rPr>
                <w:b/>
              </w:rPr>
              <w:t>(3,493</w:t>
            </w:r>
          </w:p>
        </w:tc>
        <w:tc>
          <w:tcPr>
            <w:tcW w:w="110" w:type="dxa"/>
            <w:tcBorders/>
            <w:shd w:fill="FFFFFF" w:val="clear"/>
            <w:vAlign w:val="center"/>
          </w:tcPr>
          <w:p>
            <w:pPr>
              <w:pStyle w:val="TableContents"/>
              <w:bidi w:val="0"/>
              <w:spacing w:before="0" w:after="283"/>
              <w:jc w:val="left"/>
              <w:rPr>
                <w:b/>
              </w:rPr>
            </w:pPr>
            <w:r>
              <w:rPr>
                <w:b/>
              </w:rPr>
              <w:t>)</w:t>
            </w:r>
          </w:p>
        </w:tc>
      </w:tr>
      <w:tr>
        <w:trPr/>
        <w:tc>
          <w:tcPr>
            <w:tcW w:w="6890" w:type="dxa"/>
            <w:tcBorders/>
            <w:shd w:fill="CCEEFF" w:val="clear"/>
            <w:vAlign w:val="center"/>
          </w:tcPr>
          <w:p>
            <w:pPr>
              <w:pStyle w:val="TableContents"/>
              <w:bidi w:val="0"/>
              <w:spacing w:before="0" w:after="283"/>
              <w:jc w:val="both"/>
              <w:rPr>
                <w:b/>
              </w:rPr>
            </w:pPr>
            <w:r>
              <w:rPr>
                <w:b/>
              </w:rPr>
              <w:t>Attributable to:</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both"/>
              <w:rPr/>
            </w:pPr>
            <w:r>
              <w:rPr/>
              <w:t>Equity holders of the Company</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(614</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(3,493</w:t>
            </w:r>
          </w:p>
        </w:tc>
        <w:tc>
          <w:tcPr>
            <w:tcW w:w="110" w:type="dxa"/>
            <w:tcBorders/>
            <w:shd w:fill="FFFFFF" w:val="clear"/>
            <w:vAlign w:val="center"/>
          </w:tcPr>
          <w:p>
            <w:pPr>
              <w:pStyle w:val="TableContents"/>
              <w:bidi w:val="0"/>
              <w:spacing w:before="0" w:after="283"/>
              <w:jc w:val="left"/>
              <w:rPr/>
            </w:pPr>
            <w:r>
              <w:rPr/>
              <w:t>)</w:t>
            </w:r>
          </w:p>
        </w:tc>
      </w:tr>
      <w:tr>
        <w:trPr/>
        <w:tc>
          <w:tcPr>
            <w:tcW w:w="68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both"/>
              <w:rPr/>
            </w:pPr>
            <w:r>
              <w:rPr/>
              <w:t>Loss per share for Class A and Class B ordinary shares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both"/>
              <w:rPr/>
            </w:pPr>
            <w:r>
              <w:rPr/>
              <w:t>Basic</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(0.00</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(0.01</w:t>
            </w:r>
          </w:p>
        </w:tc>
        <w:tc>
          <w:tcPr>
            <w:tcW w:w="110" w:type="dxa"/>
            <w:tcBorders/>
            <w:shd w:fill="CCEEFF" w:val="clear"/>
            <w:vAlign w:val="center"/>
          </w:tcPr>
          <w:p>
            <w:pPr>
              <w:pStyle w:val="TableContents"/>
              <w:bidi w:val="0"/>
              <w:spacing w:before="0" w:after="283"/>
              <w:jc w:val="left"/>
              <w:rPr/>
            </w:pPr>
            <w:r>
              <w:rPr/>
              <w:t>)</w:t>
            </w:r>
          </w:p>
        </w:tc>
      </w:tr>
      <w:tr>
        <w:trPr/>
        <w:tc>
          <w:tcPr>
            <w:tcW w:w="6890" w:type="dxa"/>
            <w:tcBorders/>
            <w:shd w:fill="FFFFFF" w:val="clear"/>
            <w:vAlign w:val="center"/>
          </w:tcPr>
          <w:p>
            <w:pPr>
              <w:pStyle w:val="TableContents"/>
              <w:bidi w:val="0"/>
              <w:spacing w:before="0" w:after="283"/>
              <w:jc w:val="both"/>
              <w:rPr/>
            </w:pPr>
            <w:r>
              <w:rPr/>
              <w:t>Diluted</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(0.00</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(0.01</w:t>
            </w:r>
          </w:p>
        </w:tc>
        <w:tc>
          <w:tcPr>
            <w:tcW w:w="110" w:type="dxa"/>
            <w:tcBorders/>
            <w:shd w:fill="FFFFFF" w:val="clear"/>
            <w:vAlign w:val="center"/>
          </w:tcPr>
          <w:p>
            <w:pPr>
              <w:pStyle w:val="TableContents"/>
              <w:bidi w:val="0"/>
              <w:spacing w:before="0" w:after="283"/>
              <w:jc w:val="left"/>
              <w:rPr/>
            </w:pPr>
            <w:r>
              <w:rPr/>
              <w:t>)</w:t>
            </w:r>
          </w:p>
        </w:tc>
      </w:tr>
      <w:tr>
        <w:trPr/>
        <w:tc>
          <w:tcPr>
            <w:tcW w:w="68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both"/>
              <w:rPr/>
            </w:pPr>
            <w:r>
              <w:rPr/>
              <w:t>Loss per ADS (10 Class A shares equal to 1 ADS)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both"/>
              <w:rPr/>
            </w:pPr>
            <w:r>
              <w:rPr/>
              <w:t>Basic</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(0.02</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(0.09</w:t>
            </w:r>
          </w:p>
        </w:tc>
        <w:tc>
          <w:tcPr>
            <w:tcW w:w="110" w:type="dxa"/>
            <w:tcBorders/>
            <w:shd w:fill="CCEEFF" w:val="clear"/>
            <w:vAlign w:val="center"/>
          </w:tcPr>
          <w:p>
            <w:pPr>
              <w:pStyle w:val="TableContents"/>
              <w:bidi w:val="0"/>
              <w:spacing w:before="0" w:after="283"/>
              <w:jc w:val="left"/>
              <w:rPr/>
            </w:pPr>
            <w:r>
              <w:rPr/>
              <w:t>)</w:t>
            </w:r>
          </w:p>
        </w:tc>
      </w:tr>
      <w:tr>
        <w:trPr/>
        <w:tc>
          <w:tcPr>
            <w:tcW w:w="6890" w:type="dxa"/>
            <w:tcBorders/>
            <w:shd w:fill="FFFFFF" w:val="clear"/>
            <w:vAlign w:val="center"/>
          </w:tcPr>
          <w:p>
            <w:pPr>
              <w:pStyle w:val="TableContents"/>
              <w:bidi w:val="0"/>
              <w:spacing w:before="0" w:after="283"/>
              <w:jc w:val="both"/>
              <w:rPr/>
            </w:pPr>
            <w:r>
              <w:rPr/>
              <w:t>Diluted</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(0.02</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(0.09</w:t>
            </w:r>
          </w:p>
        </w:tc>
        <w:tc>
          <w:tcPr>
            <w:tcW w:w="110" w:type="dxa"/>
            <w:tcBorders/>
            <w:shd w:fill="FFFFFF" w:val="clear"/>
            <w:vAlign w:val="center"/>
          </w:tcPr>
          <w:p>
            <w:pPr>
              <w:pStyle w:val="TableContents"/>
              <w:bidi w:val="0"/>
              <w:spacing w:before="0" w:after="283"/>
              <w:jc w:val="left"/>
              <w:rPr/>
            </w:pPr>
            <w:r>
              <w:rPr/>
              <w:t>)</w:t>
            </w:r>
          </w:p>
        </w:tc>
      </w:tr>
      <w:tr>
        <w:trPr/>
        <w:tc>
          <w:tcPr>
            <w:tcW w:w="68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left"/>
              <w:rPr/>
            </w:pPr>
            <w:r>
              <w:rPr/>
              <w:t>Shares used in loss per Class A and Class B ordinary share computation:</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both"/>
              <w:rPr/>
            </w:pPr>
            <w:r>
              <w:rPr/>
              <w:t>Basic</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376,228,536</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380,804,100</w:t>
            </w:r>
          </w:p>
        </w:tc>
        <w:tc>
          <w:tcPr>
            <w:tcW w:w="110"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both"/>
              <w:rPr/>
            </w:pPr>
            <w:r>
              <w:rPr/>
              <w:t>Diluted</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376,228,536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380,804,100</w:t>
            </w:r>
          </w:p>
        </w:tc>
        <w:tc>
          <w:tcPr>
            <w:tcW w:w="110" w:type="dxa"/>
            <w:tcBorders/>
            <w:shd w:fill="FFFFFF" w:val="clear"/>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both"/>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b/>
              </w:rPr>
            </w:pPr>
            <w:r>
              <w:rPr>
                <w:b/>
              </w:rPr>
              <w:t>(614</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b/>
              </w:rPr>
            </w:pPr>
            <w:r>
              <w:rPr>
                <w:b/>
              </w:rPr>
              <w:t>(3,493</w:t>
            </w:r>
          </w:p>
        </w:tc>
        <w:tc>
          <w:tcPr>
            <w:tcW w:w="110" w:type="dxa"/>
            <w:tcBorders/>
            <w:shd w:fill="FFFFFF" w:val="clear"/>
            <w:vAlign w:val="center"/>
          </w:tcPr>
          <w:p>
            <w:pPr>
              <w:pStyle w:val="TableContents"/>
              <w:bidi w:val="0"/>
              <w:spacing w:before="0" w:after="283"/>
              <w:jc w:val="left"/>
              <w:rPr>
                <w:b/>
              </w:rPr>
            </w:pPr>
            <w:r>
              <w:rPr>
                <w:b/>
              </w:rPr>
              <w:t>)</w:t>
            </w:r>
          </w:p>
        </w:tc>
      </w:tr>
      <w:tr>
        <w:trPr/>
        <w:tc>
          <w:tcPr>
            <w:tcW w:w="6890" w:type="dxa"/>
            <w:tcBorders/>
            <w:shd w:fill="CCEEFF" w:val="clear"/>
            <w:vAlign w:val="center"/>
          </w:tcPr>
          <w:p>
            <w:pPr>
              <w:pStyle w:val="TableContents"/>
              <w:bidi w:val="0"/>
              <w:spacing w:before="0" w:after="283"/>
              <w:jc w:val="both"/>
              <w:rPr>
                <w:b/>
              </w:rPr>
            </w:pPr>
            <w:r>
              <w:rPr>
                <w:b/>
              </w:rPr>
              <w:t>Other comprehensive loss, net of tax</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both"/>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FFFFFF" w:val="clear"/>
            <w:tcMar>
              <w:bottom w:w="28" w:type="dxa"/>
            </w:tcMar>
            <w:vAlign w:val="center"/>
          </w:tcPr>
          <w:p>
            <w:pPr>
              <w:pStyle w:val="TableContents"/>
              <w:bidi w:val="0"/>
              <w:spacing w:before="0" w:after="283"/>
              <w:jc w:val="right"/>
              <w:rPr/>
            </w:pPr>
            <w:r>
              <w:rPr/>
              <w:t>(12</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FFFFFF" w:val="clear"/>
            <w:tcMar>
              <w:bottom w:w="28" w:type="dxa"/>
            </w:tcMar>
            <w:vAlign w:val="center"/>
          </w:tcPr>
          <w:p>
            <w:pPr>
              <w:pStyle w:val="TableContents"/>
              <w:bidi w:val="0"/>
              <w:spacing w:before="0" w:after="283"/>
              <w:jc w:val="right"/>
              <w:rPr/>
            </w:pPr>
            <w:r>
              <w:rPr/>
              <w:t>235</w:t>
            </w:r>
          </w:p>
        </w:tc>
        <w:tc>
          <w:tcPr>
            <w:tcW w:w="110" w:type="dxa"/>
            <w:tcBorders/>
            <w:shd w:fill="FFFFFF" w:val="clear"/>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both"/>
              <w:rPr>
                <w:b/>
              </w:rPr>
            </w:pPr>
            <w:r>
              <w:rPr>
                <w:b/>
              </w:rPr>
              <w:t>Total comprehensive loss</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(626</w:t>
            </w:r>
          </w:p>
        </w:tc>
        <w:tc>
          <w:tcPr>
            <w:tcW w:w="99"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(3,258</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6" w:space="1" w:color="000000"/>
        </w:rPr>
      </w:pPr>
      <w:r>
        <w:rPr>
          <w:sz w:val="20"/>
          <w:bdr w:val="single" w:sz="16"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UCLOUDLINK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CONDENSED CONSOLIDATED STATEMENTS OF CASH FLOWS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w:t>
      </w:r>
    </w:p>
    <w:p>
      <w:pPr>
        <w:pStyle w:val="TextBody"/>
        <w:bidi w:val="0"/>
        <w:spacing w:before="0" w:after="0"/>
        <w:ind w:left="0" w:right="0" w:hanging="0"/>
        <w:jc w:val="both"/>
        <w:rPr>
          <w:caps w:val="false"/>
          <w:smallCaps w:val="false"/>
        </w:rPr>
      </w:pPr>
      <w:r>
        <w:rPr>
          <w:caps w:val="false"/>
          <w:smallCaps w:val="false"/>
        </w:rPr>
        <w:t> </w:t>
      </w:r>
    </w:p>
    <w:tbl>
      <w:tblPr>
        <w:tblW w:w="8114" w:type="dxa"/>
        <w:jc w:val="left"/>
        <w:tblInd w:w="0" w:type="dxa"/>
        <w:tblLayout w:type="fixed"/>
        <w:tblCellMar>
          <w:top w:w="0" w:type="dxa"/>
          <w:left w:w="0" w:type="dxa"/>
          <w:bottom w:w="0" w:type="dxa"/>
          <w:right w:w="0" w:type="dxa"/>
        </w:tblCellMar>
      </w:tblPr>
      <w:tblGrid>
        <w:gridCol w:w="5105"/>
        <w:gridCol w:w="60"/>
        <w:gridCol w:w="104"/>
        <w:gridCol w:w="1181"/>
        <w:gridCol w:w="165"/>
        <w:gridCol w:w="104"/>
        <w:gridCol w:w="104"/>
        <w:gridCol w:w="1181"/>
        <w:gridCol w:w="110"/>
      </w:tblGrid>
      <w:tr>
        <w:trPr/>
        <w:tc>
          <w:tcPr>
            <w:tcW w:w="51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3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110"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16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285" w:type="dxa"/>
            <w:gridSpan w:val="2"/>
            <w:tcBorders>
              <w:bottom w:val="single" w:sz="12" w:space="0" w:color="000000"/>
            </w:tcBorders>
            <w:tcMar>
              <w:bottom w:w="28" w:type="dxa"/>
            </w:tcMar>
            <w:vAlign w:val="center"/>
          </w:tcPr>
          <w:p>
            <w:pPr>
              <w:pStyle w:val="TableContents"/>
              <w:bidi w:val="0"/>
              <w:spacing w:before="0" w:after="283"/>
              <w:jc w:val="center"/>
              <w:rPr/>
            </w:pPr>
            <w:r>
              <w:rPr>
                <w:b/>
              </w:rPr>
              <w:t>March 31,</w:t>
            </w:r>
            <w:r>
              <w:rPr/>
              <w:t xml:space="preserve"> </w:t>
              <w:br/>
            </w:r>
            <w:r>
              <w:rPr>
                <w:b/>
              </w:rPr>
              <w:t>2026</w:t>
            </w:r>
          </w:p>
        </w:tc>
        <w:tc>
          <w:tcPr>
            <w:tcW w:w="110"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both"/>
              <w:rPr/>
            </w:pPr>
            <w:r>
              <w:rPr/>
              <w:t>Net cash generated from/(used in) operating activities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236</w:t>
            </w:r>
          </w:p>
        </w:tc>
        <w:tc>
          <w:tcPr>
            <w:tcW w:w="16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(8,688</w:t>
            </w:r>
          </w:p>
        </w:tc>
        <w:tc>
          <w:tcPr>
            <w:tcW w:w="110" w:type="dxa"/>
            <w:tcBorders/>
            <w:shd w:fill="CCEEFF" w:val="clear"/>
            <w:vAlign w:val="center"/>
          </w:tcPr>
          <w:p>
            <w:pPr>
              <w:pStyle w:val="TableContents"/>
              <w:bidi w:val="0"/>
              <w:spacing w:before="0" w:after="283"/>
              <w:jc w:val="left"/>
              <w:rPr/>
            </w:pPr>
            <w:r>
              <w:rPr/>
              <w:t>)</w:t>
            </w:r>
          </w:p>
        </w:tc>
      </w:tr>
      <w:tr>
        <w:trPr/>
        <w:tc>
          <w:tcPr>
            <w:tcW w:w="5105" w:type="dxa"/>
            <w:tcBorders/>
            <w:shd w:fill="FFFFFF" w:val="clear"/>
            <w:vAlign w:val="center"/>
          </w:tcPr>
          <w:p>
            <w:pPr>
              <w:pStyle w:val="TableContents"/>
              <w:bidi w:val="0"/>
              <w:spacing w:before="0" w:after="283"/>
              <w:jc w:val="both"/>
              <w:rPr/>
            </w:pPr>
            <w:r>
              <w:rPr/>
              <w:t>Net cash (used in)/generated from investing activities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(350</w:t>
            </w:r>
          </w:p>
        </w:tc>
        <w:tc>
          <w:tcPr>
            <w:tcW w:w="165" w:type="dxa"/>
            <w:tcBorders/>
            <w:shd w:fill="FFFFFF" w:val="clear"/>
            <w:vAlign w:val="center"/>
          </w:tcPr>
          <w:p>
            <w:pPr>
              <w:pStyle w:val="TableContents"/>
              <w:bidi w:val="0"/>
              <w:spacing w:before="0" w:after="283"/>
              <w:jc w:val="left"/>
              <w:rPr/>
            </w:pPr>
            <w:r>
              <w:rPr/>
              <w:t>)</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14</w:t>
            </w:r>
          </w:p>
        </w:tc>
        <w:tc>
          <w:tcPr>
            <w:tcW w:w="11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both"/>
              <w:rPr/>
            </w:pPr>
            <w:r>
              <w:rPr/>
              <w:t>Net cash generated from financing activities</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1" w:type="dxa"/>
            <w:tcBorders>
              <w:bottom w:val="single" w:sz="12" w:space="0" w:color="000000"/>
            </w:tcBorders>
            <w:shd w:fill="CCEEFF" w:val="clear"/>
            <w:tcMar>
              <w:bottom w:w="28" w:type="dxa"/>
            </w:tcMar>
            <w:vAlign w:val="center"/>
          </w:tcPr>
          <w:p>
            <w:pPr>
              <w:pStyle w:val="TableContents"/>
              <w:bidi w:val="0"/>
              <w:spacing w:before="0" w:after="283"/>
              <w:jc w:val="right"/>
              <w:rPr/>
            </w:pPr>
            <w:r>
              <w:rPr/>
              <w:t>976</w:t>
            </w:r>
          </w:p>
        </w:tc>
        <w:tc>
          <w:tcPr>
            <w:tcW w:w="16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1" w:type="dxa"/>
            <w:tcBorders>
              <w:bottom w:val="single" w:sz="12" w:space="0" w:color="000000"/>
            </w:tcBorders>
            <w:shd w:fill="CCEEFF" w:val="clear"/>
            <w:tcMar>
              <w:bottom w:w="28" w:type="dxa"/>
            </w:tcMar>
            <w:vAlign w:val="center"/>
          </w:tcPr>
          <w:p>
            <w:pPr>
              <w:pStyle w:val="TableContents"/>
              <w:bidi w:val="0"/>
              <w:spacing w:before="0" w:after="283"/>
              <w:jc w:val="right"/>
              <w:rPr/>
            </w:pPr>
            <w:r>
              <w:rPr/>
              <w:t>3,629</w:t>
            </w:r>
          </w:p>
        </w:tc>
        <w:tc>
          <w:tcPr>
            <w:tcW w:w="11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both"/>
              <w:rPr/>
            </w:pPr>
            <w:r>
              <w:rPr/>
              <w:t>Increase/(decrease)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862</w:t>
            </w:r>
          </w:p>
        </w:tc>
        <w:tc>
          <w:tcPr>
            <w:tcW w:w="165"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(5,045</w:t>
            </w:r>
          </w:p>
        </w:tc>
        <w:tc>
          <w:tcPr>
            <w:tcW w:w="110" w:type="dxa"/>
            <w:tcBorders/>
            <w:shd w:fill="FFFFFF" w:val="clear"/>
            <w:vAlign w:val="center"/>
          </w:tcPr>
          <w:p>
            <w:pPr>
              <w:pStyle w:val="TableContents"/>
              <w:bidi w:val="0"/>
              <w:spacing w:before="0" w:after="283"/>
              <w:jc w:val="left"/>
              <w:rPr/>
            </w:pPr>
            <w:r>
              <w:rPr/>
              <w:t>)</w:t>
            </w:r>
          </w:p>
        </w:tc>
      </w:tr>
      <w:tr>
        <w:trPr/>
        <w:tc>
          <w:tcPr>
            <w:tcW w:w="5105" w:type="dxa"/>
            <w:tcBorders/>
            <w:shd w:fill="CCEEFF" w:val="clear"/>
            <w:vAlign w:val="center"/>
          </w:tcPr>
          <w:p>
            <w:pPr>
              <w:pStyle w:val="TableContents"/>
              <w:bidi w:val="0"/>
              <w:spacing w:before="0" w:after="283"/>
              <w:jc w:val="both"/>
              <w:rPr/>
            </w:pPr>
            <w:r>
              <w:rPr/>
              <w:t>Cash and cash equivalents at beginning of the period</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b/>
              </w:rPr>
            </w:pPr>
            <w:r>
              <w:rPr>
                <w:b/>
              </w:rPr>
              <w:t>30,057</w:t>
            </w:r>
          </w:p>
        </w:tc>
        <w:tc>
          <w:tcPr>
            <w:tcW w:w="16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b/>
              </w:rPr>
            </w:pPr>
            <w:r>
              <w:rPr>
                <w:b/>
              </w:rPr>
              <w:t>32,831</w:t>
            </w:r>
          </w:p>
        </w:tc>
        <w:tc>
          <w:tcPr>
            <w:tcW w:w="11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both"/>
              <w:rPr/>
            </w:pPr>
            <w:r>
              <w:rPr/>
              <w:t>Effect of exchange rates on cash and cash equivalents</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1" w:type="dxa"/>
            <w:tcBorders>
              <w:bottom w:val="single" w:sz="12" w:space="0" w:color="000000"/>
            </w:tcBorders>
            <w:shd w:fill="FFFFFF" w:val="clear"/>
            <w:tcMar>
              <w:bottom w:w="28" w:type="dxa"/>
            </w:tcMar>
            <w:vAlign w:val="center"/>
          </w:tcPr>
          <w:p>
            <w:pPr>
              <w:pStyle w:val="TableContents"/>
              <w:bidi w:val="0"/>
              <w:spacing w:before="0" w:after="283"/>
              <w:jc w:val="right"/>
              <w:rPr/>
            </w:pPr>
            <w:r>
              <w:rPr/>
              <w:t>156</w:t>
            </w:r>
          </w:p>
        </w:tc>
        <w:tc>
          <w:tcPr>
            <w:tcW w:w="165"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1" w:type="dxa"/>
            <w:tcBorders>
              <w:bottom w:val="single" w:sz="12" w:space="0" w:color="000000"/>
            </w:tcBorders>
            <w:shd w:fill="FFFFFF" w:val="clear"/>
            <w:tcMar>
              <w:bottom w:w="28" w:type="dxa"/>
            </w:tcMar>
            <w:vAlign w:val="center"/>
          </w:tcPr>
          <w:p>
            <w:pPr>
              <w:pStyle w:val="TableContents"/>
              <w:bidi w:val="0"/>
              <w:spacing w:before="0" w:after="283"/>
              <w:jc w:val="right"/>
              <w:rPr/>
            </w:pPr>
            <w:r>
              <w:rPr/>
              <w:t>212</w:t>
            </w:r>
          </w:p>
        </w:tc>
        <w:tc>
          <w:tcPr>
            <w:tcW w:w="11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both"/>
              <w:rPr>
                <w:b/>
              </w:rPr>
            </w:pPr>
            <w:r>
              <w:rPr>
                <w:b/>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8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31,075</w:t>
            </w:r>
          </w:p>
        </w:tc>
        <w:tc>
          <w:tcPr>
            <w:tcW w:w="16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8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27,998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6" w:space="1" w:color="000000"/>
        </w:rPr>
      </w:pPr>
      <w:r>
        <w:rPr>
          <w:sz w:val="20"/>
          <w:bdr w:val="single" w:sz="16"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UCLOUDLINK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RECONCILIATIONS OF NON-GAAP AND GAAP RESULTS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w:t>
      </w:r>
    </w:p>
    <w:p>
      <w:pPr>
        <w:pStyle w:val="TextBody"/>
        <w:bidi w:val="0"/>
        <w:spacing w:before="0" w:after="0"/>
        <w:ind w:left="0" w:right="0" w:hanging="0"/>
        <w:jc w:val="both"/>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5825"/>
        <w:gridCol w:w="60"/>
        <w:gridCol w:w="130"/>
        <w:gridCol w:w="999"/>
        <w:gridCol w:w="197"/>
        <w:gridCol w:w="124"/>
        <w:gridCol w:w="124"/>
        <w:gridCol w:w="1321"/>
        <w:gridCol w:w="110"/>
      </w:tblGrid>
      <w:tr>
        <w:trPr/>
        <w:tc>
          <w:tcPr>
            <w:tcW w:w="58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pPr>
            <w:r>
              <w:rPr>
                <w:b/>
              </w:rPr>
              <w:t>March 31,</w:t>
            </w:r>
            <w:r>
              <w:rPr/>
              <w:t xml:space="preserve"> </w:t>
              <w:br/>
            </w:r>
            <w:r>
              <w:rPr>
                <w:b/>
              </w:rPr>
              <w:t>2025</w:t>
            </w:r>
          </w:p>
        </w:tc>
        <w:tc>
          <w:tcPr>
            <w:tcW w:w="197"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pPr>
            <w:r>
              <w:rPr>
                <w:b/>
              </w:rPr>
              <w:t>March 31,</w:t>
            </w:r>
            <w:r>
              <w:rPr/>
              <w:t xml:space="preserve"> </w:t>
              <w:br/>
            </w:r>
            <w:r>
              <w:rPr>
                <w:b/>
              </w:rPr>
              <w:t>2026</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both"/>
              <w:rPr>
                <w:b/>
              </w:rPr>
            </w:pPr>
            <w:r>
              <w:rPr>
                <w:b/>
              </w:rPr>
              <w:t>Reconciliation of Net Loss to Adjusted Net Income/(Loss)</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right"/>
              <w:rPr/>
            </w:pPr>
            <w:r>
              <w:rPr/>
              <w:t> </w:t>
            </w:r>
          </w:p>
        </w:tc>
        <w:tc>
          <w:tcPr>
            <w:tcW w:w="197"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both"/>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b/>
              </w:rPr>
            </w:pPr>
            <w:r>
              <w:rPr>
                <w:b/>
              </w:rPr>
              <w:t>(614</w:t>
            </w:r>
          </w:p>
        </w:tc>
        <w:tc>
          <w:tcPr>
            <w:tcW w:w="197" w:type="dxa"/>
            <w:tcBorders/>
            <w:shd w:fill="CCEEFF" w:val="clear"/>
            <w:vAlign w:val="center"/>
          </w:tcPr>
          <w:p>
            <w:pPr>
              <w:pStyle w:val="TableContents"/>
              <w:bidi w:val="0"/>
              <w:spacing w:before="0" w:after="283"/>
              <w:jc w:val="left"/>
              <w:rPr>
                <w:b/>
              </w:rPr>
            </w:pPr>
            <w:r>
              <w:rPr>
                <w:b/>
              </w:rPr>
              <w:t>)</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b/>
              </w:rPr>
            </w:pPr>
            <w:r>
              <w:rPr>
                <w:b/>
              </w:rPr>
              <w:t>(3,493</w:t>
            </w:r>
          </w:p>
        </w:tc>
        <w:tc>
          <w:tcPr>
            <w:tcW w:w="110" w:type="dxa"/>
            <w:tcBorders/>
            <w:shd w:fill="CCEEFF" w:val="clear"/>
            <w:vAlign w:val="center"/>
          </w:tcPr>
          <w:p>
            <w:pPr>
              <w:pStyle w:val="TableContents"/>
              <w:bidi w:val="0"/>
              <w:spacing w:before="0" w:after="283"/>
              <w:jc w:val="left"/>
              <w:rPr>
                <w:b/>
              </w:rPr>
            </w:pPr>
            <w:r>
              <w:rPr>
                <w:b/>
              </w:rPr>
              <w:t>)</w:t>
            </w:r>
          </w:p>
        </w:tc>
      </w:tr>
      <w:tr>
        <w:trPr/>
        <w:tc>
          <w:tcPr>
            <w:tcW w:w="5825" w:type="dxa"/>
            <w:tcBorders/>
            <w:shd w:fill="FFFFFF" w:val="clear"/>
            <w:vAlign w:val="center"/>
          </w:tcPr>
          <w:p>
            <w:pPr>
              <w:pStyle w:val="TableContents"/>
              <w:bidi w:val="0"/>
              <w:spacing w:before="0" w:after="283"/>
              <w:jc w:val="both"/>
              <w:rPr/>
            </w:pPr>
            <w:r>
              <w:rPr/>
              <w:t>Add: share-based compensation</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329</w:t>
            </w:r>
          </w:p>
        </w:tc>
        <w:tc>
          <w:tcPr>
            <w:tcW w:w="197"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196</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both"/>
              <w:rPr/>
            </w:pPr>
            <w:r>
              <w:rPr/>
              <w:t>fair value loss in other investments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729</w:t>
            </w:r>
          </w:p>
        </w:tc>
        <w:tc>
          <w:tcPr>
            <w:tcW w:w="197"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653</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both"/>
              <w:rPr/>
            </w:pPr>
            <w:r>
              <w:rPr/>
              <w:t>share of loss in equity method investment, net of tax</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197"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1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1"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both"/>
              <w:rPr>
                <w:b/>
              </w:rPr>
            </w:pPr>
            <w:r>
              <w:rPr>
                <w:b/>
              </w:rPr>
              <w:t>Adjusted net income/(loss)</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447</w:t>
            </w:r>
          </w:p>
        </w:tc>
        <w:tc>
          <w:tcPr>
            <w:tcW w:w="197"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2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(2,642</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4940"/>
        <w:gridCol w:w="60"/>
        <w:gridCol w:w="115"/>
        <w:gridCol w:w="1081"/>
        <w:gridCol w:w="183"/>
        <w:gridCol w:w="115"/>
        <w:gridCol w:w="115"/>
        <w:gridCol w:w="1226"/>
        <w:gridCol w:w="110"/>
      </w:tblGrid>
      <w:tr>
        <w:trPr/>
        <w:tc>
          <w:tcPr>
            <w:tcW w:w="49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110"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96" w:type="dxa"/>
            <w:gridSpan w:val="2"/>
            <w:tcBorders>
              <w:bottom w:val="single" w:sz="12" w:space="0" w:color="000000"/>
            </w:tcBorders>
            <w:tcMar>
              <w:bottom w:w="28" w:type="dxa"/>
            </w:tcMar>
            <w:vAlign w:val="center"/>
          </w:tcPr>
          <w:p>
            <w:pPr>
              <w:pStyle w:val="TableContents"/>
              <w:bidi w:val="0"/>
              <w:spacing w:before="0" w:after="283"/>
              <w:jc w:val="center"/>
              <w:rPr/>
            </w:pPr>
            <w:r>
              <w:rPr>
                <w:b/>
              </w:rPr>
              <w:t>March 31,</w:t>
            </w:r>
            <w:r>
              <w:rPr/>
              <w:t xml:space="preserve"> </w:t>
              <w:br/>
            </w:r>
            <w:r>
              <w:rPr>
                <w:b/>
              </w:rPr>
              <w:t>2025</w:t>
            </w:r>
          </w:p>
        </w:tc>
        <w:tc>
          <w:tcPr>
            <w:tcW w:w="183"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41" w:type="dxa"/>
            <w:gridSpan w:val="2"/>
            <w:tcBorders>
              <w:bottom w:val="single" w:sz="12" w:space="0" w:color="000000"/>
            </w:tcBorders>
            <w:tcMar>
              <w:bottom w:w="28" w:type="dxa"/>
            </w:tcMar>
            <w:vAlign w:val="center"/>
          </w:tcPr>
          <w:p>
            <w:pPr>
              <w:pStyle w:val="TableContents"/>
              <w:bidi w:val="0"/>
              <w:spacing w:before="0" w:after="283"/>
              <w:jc w:val="center"/>
              <w:rPr/>
            </w:pPr>
            <w:r>
              <w:rPr>
                <w:b/>
              </w:rPr>
              <w:t>March 31,</w:t>
            </w:r>
            <w:r>
              <w:rPr/>
              <w:t xml:space="preserve"> </w:t>
              <w:br/>
            </w:r>
            <w:r>
              <w:rPr>
                <w:b/>
              </w:rPr>
              <w:t>2026</w:t>
            </w:r>
          </w:p>
        </w:tc>
        <w:tc>
          <w:tcPr>
            <w:tcW w:w="110"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both"/>
              <w:rPr>
                <w:b/>
              </w:rPr>
            </w:pPr>
            <w:r>
              <w:rPr>
                <w:b/>
              </w:rPr>
              <w:t>Reconciliation of Net Loss to Adjusted EBITDA</w:t>
            </w:r>
          </w:p>
        </w:tc>
        <w:tc>
          <w:tcPr>
            <w:tcW w:w="60" w:type="dxa"/>
            <w:tcBorders/>
            <w:vAlign w:val="center"/>
          </w:tcPr>
          <w:p>
            <w:pPr>
              <w:pStyle w:val="TableContents"/>
              <w:bidi w:val="0"/>
              <w:spacing w:before="0" w:after="283"/>
              <w:jc w:val="left"/>
              <w:rPr/>
            </w:pPr>
            <w:r>
              <w:rPr/>
              <w:t> </w:t>
            </w:r>
          </w:p>
        </w:tc>
        <w:tc>
          <w:tcPr>
            <w:tcW w:w="1196" w:type="dxa"/>
            <w:gridSpan w:val="2"/>
            <w:tcBorders/>
            <w:vAlign w:val="center"/>
          </w:tcPr>
          <w:p>
            <w:pPr>
              <w:pStyle w:val="TableContents"/>
              <w:bidi w:val="0"/>
              <w:spacing w:before="0" w:after="283"/>
              <w:jc w:val="right"/>
              <w:rPr/>
            </w:pPr>
            <w:r>
              <w:rPr/>
              <w:t> </w:t>
            </w:r>
          </w:p>
        </w:tc>
        <w:tc>
          <w:tcPr>
            <w:tcW w:w="183"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41"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both"/>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b/>
              </w:rPr>
            </w:pPr>
            <w:r>
              <w:rPr>
                <w:b/>
              </w:rPr>
              <w:t>(614</w:t>
            </w:r>
          </w:p>
        </w:tc>
        <w:tc>
          <w:tcPr>
            <w:tcW w:w="183" w:type="dxa"/>
            <w:tcBorders/>
            <w:shd w:fill="CCEEFF" w:val="clear"/>
            <w:vAlign w:val="center"/>
          </w:tcPr>
          <w:p>
            <w:pPr>
              <w:pStyle w:val="TableContents"/>
              <w:bidi w:val="0"/>
              <w:spacing w:before="0" w:after="283"/>
              <w:jc w:val="left"/>
              <w:rPr>
                <w:b/>
              </w:rPr>
            </w:pPr>
            <w:r>
              <w:rPr>
                <w:b/>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b/>
              </w:rPr>
            </w:pPr>
            <w:r>
              <w:rPr>
                <w:b/>
              </w:rPr>
              <w:t>(3,493</w:t>
            </w:r>
          </w:p>
        </w:tc>
        <w:tc>
          <w:tcPr>
            <w:tcW w:w="110" w:type="dxa"/>
            <w:tcBorders/>
            <w:shd w:fill="CCEEFF" w:val="clear"/>
            <w:vAlign w:val="center"/>
          </w:tcPr>
          <w:p>
            <w:pPr>
              <w:pStyle w:val="TableContents"/>
              <w:bidi w:val="0"/>
              <w:spacing w:before="0" w:after="283"/>
              <w:jc w:val="left"/>
              <w:rPr>
                <w:b/>
              </w:rPr>
            </w:pPr>
            <w:r>
              <w:rPr>
                <w:b/>
              </w:rPr>
              <w:t>)</w:t>
            </w:r>
          </w:p>
        </w:tc>
      </w:tr>
      <w:tr>
        <w:trPr/>
        <w:tc>
          <w:tcPr>
            <w:tcW w:w="4940" w:type="dxa"/>
            <w:tcBorders/>
            <w:shd w:fill="FFFFFF" w:val="clear"/>
            <w:vAlign w:val="center"/>
          </w:tcPr>
          <w:p>
            <w:pPr>
              <w:pStyle w:val="TableContents"/>
              <w:bidi w:val="0"/>
              <w:spacing w:before="0" w:after="283"/>
              <w:jc w:val="both"/>
              <w:rPr/>
            </w:pPr>
            <w:r>
              <w:rPr/>
              <w:t>Add:</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both"/>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57</w:t>
            </w:r>
          </w:p>
        </w:tc>
        <w:tc>
          <w:tcPr>
            <w:tcW w:w="183"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56</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both"/>
              <w:rPr/>
            </w:pPr>
            <w:r>
              <w:rPr/>
              <w:t>Income tax expenses/(credit)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87</w:t>
            </w:r>
          </w:p>
        </w:tc>
        <w:tc>
          <w:tcPr>
            <w:tcW w:w="18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(31</w:t>
            </w:r>
          </w:p>
        </w:tc>
        <w:tc>
          <w:tcPr>
            <w:tcW w:w="110" w:type="dxa"/>
            <w:tcBorders/>
            <w:shd w:fill="FFFFFF" w:val="clear"/>
            <w:vAlign w:val="center"/>
          </w:tcPr>
          <w:p>
            <w:pPr>
              <w:pStyle w:val="TableContents"/>
              <w:bidi w:val="0"/>
              <w:spacing w:before="0" w:after="283"/>
              <w:jc w:val="left"/>
              <w:rPr/>
            </w:pPr>
            <w:r>
              <w:rPr/>
              <w:t>)</w:t>
            </w:r>
          </w:p>
        </w:tc>
      </w:tr>
      <w:tr>
        <w:trPr/>
        <w:tc>
          <w:tcPr>
            <w:tcW w:w="4940" w:type="dxa"/>
            <w:tcBorders/>
            <w:shd w:fill="CCEEFF" w:val="clear"/>
            <w:vAlign w:val="center"/>
          </w:tcPr>
          <w:p>
            <w:pPr>
              <w:pStyle w:val="TableContents"/>
              <w:bidi w:val="0"/>
              <w:spacing w:before="0" w:after="283"/>
              <w:jc w:val="both"/>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773</w:t>
            </w:r>
          </w:p>
        </w:tc>
        <w:tc>
          <w:tcPr>
            <w:tcW w:w="183"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624</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both"/>
              <w:rPr/>
            </w:pPr>
            <w:r>
              <w:rPr/>
              <w:t>EBITDA</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b/>
              </w:rPr>
            </w:pPr>
            <w:r>
              <w:rPr>
                <w:b/>
              </w:rPr>
              <w:t>303</w:t>
            </w:r>
          </w:p>
        </w:tc>
        <w:tc>
          <w:tcPr>
            <w:tcW w:w="18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b/>
              </w:rPr>
            </w:pPr>
            <w:r>
              <w:rPr>
                <w:b/>
              </w:rPr>
              <w:t>(2,844</w:t>
            </w:r>
          </w:p>
        </w:tc>
        <w:tc>
          <w:tcPr>
            <w:tcW w:w="110" w:type="dxa"/>
            <w:tcBorders/>
            <w:shd w:fill="FFFFFF" w:val="clear"/>
            <w:vAlign w:val="center"/>
          </w:tcPr>
          <w:p>
            <w:pPr>
              <w:pStyle w:val="TableContents"/>
              <w:bidi w:val="0"/>
              <w:spacing w:before="0" w:after="283"/>
              <w:jc w:val="left"/>
              <w:rPr>
                <w:b/>
              </w:rPr>
            </w:pPr>
            <w:r>
              <w:rPr>
                <w:b/>
              </w:rPr>
              <w:t>)</w:t>
            </w:r>
          </w:p>
        </w:tc>
      </w:tr>
      <w:tr>
        <w:trPr/>
        <w:tc>
          <w:tcPr>
            <w:tcW w:w="4940" w:type="dxa"/>
            <w:tcBorders/>
            <w:shd w:fill="CCEEFF" w:val="clear"/>
            <w:vAlign w:val="center"/>
          </w:tcPr>
          <w:p>
            <w:pPr>
              <w:pStyle w:val="TableContents"/>
              <w:bidi w:val="0"/>
              <w:spacing w:before="0" w:after="283"/>
              <w:jc w:val="both"/>
              <w:rPr/>
            </w:pPr>
            <w:r>
              <w:rPr/>
              <w:t>Add: share-based compensation</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329</w:t>
            </w:r>
          </w:p>
        </w:tc>
        <w:tc>
          <w:tcPr>
            <w:tcW w:w="183"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196</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both"/>
              <w:rPr/>
            </w:pPr>
            <w:r>
              <w:rPr/>
              <w:t>fair value loss in other investments</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729</w:t>
            </w:r>
          </w:p>
        </w:tc>
        <w:tc>
          <w:tcPr>
            <w:tcW w:w="18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653</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both"/>
              <w:rPr/>
            </w:pPr>
            <w:r>
              <w:rPr/>
              <w:t>share of loss in equity method investment, net of tax</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1"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183"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6"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both"/>
              <w:rPr>
                <w:b/>
              </w:rPr>
            </w:pPr>
            <w:r>
              <w:rPr>
                <w:b/>
              </w:rPr>
              <w:t>Adjusted EBITDA</w:t>
            </w:r>
          </w:p>
        </w:tc>
        <w:tc>
          <w:tcPr>
            <w:tcW w:w="60" w:type="dxa"/>
            <w:tcBorders/>
            <w:shd w:fill="FFFFFF" w:val="clear"/>
            <w:vAlign w:val="center"/>
          </w:tcPr>
          <w:p>
            <w:pPr>
              <w:pStyle w:val="TableContents"/>
              <w:bidi w:val="0"/>
              <w:spacing w:before="0" w:after="283"/>
              <w:jc w:val="left"/>
              <w:rPr/>
            </w:pPr>
            <w:r>
              <w:rPr/>
              <w:t> </w:t>
            </w:r>
          </w:p>
        </w:tc>
        <w:tc>
          <w:tcPr>
            <w:tcW w:w="11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8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1,364</w:t>
            </w:r>
          </w:p>
        </w:tc>
        <w:tc>
          <w:tcPr>
            <w:tcW w:w="18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(1,993</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6" w:space="1" w:color="000000"/>
        </w:rPr>
      </w:pPr>
      <w:r>
        <w:rPr>
          <w:sz w:val="20"/>
          <w:bdr w:val="single" w:sz="16" w:space="1" w:color="000000"/>
        </w:rPr>
        <w:t>11</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4308</Words>
  <Characters>23655</Characters>
  <CharactersWithSpaces>28262</CharactersWithSpaces>
  <Paragraphs>1385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